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0334" w14:textId="77777777" w:rsidR="00E335A4" w:rsidRPr="00536AC1" w:rsidRDefault="006D58AE" w:rsidP="006D58AE">
      <w:pPr>
        <w:rPr>
          <w:rFonts w:ascii="Arial" w:hAnsi="Arial" w:cs="Arial"/>
          <w:b/>
        </w:rPr>
      </w:pPr>
      <w:r w:rsidRPr="00536AC1">
        <w:rPr>
          <w:rFonts w:ascii="Arial" w:hAnsi="Arial" w:cs="Arial"/>
          <w:b/>
        </w:rPr>
        <w:t>Einkaufs</w:t>
      </w:r>
      <w:r w:rsidR="00E335A4" w:rsidRPr="00536AC1">
        <w:rPr>
          <w:rFonts w:ascii="Arial" w:hAnsi="Arial" w:cs="Arial"/>
          <w:b/>
        </w:rPr>
        <w:t xml:space="preserve">- und Abrechnungsbedingungen </w:t>
      </w:r>
    </w:p>
    <w:p w14:paraId="2C96AEC5" w14:textId="77777777" w:rsidR="007A51B2" w:rsidRPr="00536AC1" w:rsidRDefault="006D58AE" w:rsidP="006D58AE">
      <w:pPr>
        <w:rPr>
          <w:rFonts w:ascii="Arial" w:hAnsi="Arial" w:cs="Arial"/>
          <w:b/>
        </w:rPr>
      </w:pPr>
      <w:r w:rsidRPr="00536AC1">
        <w:rPr>
          <w:rFonts w:ascii="Arial" w:hAnsi="Arial" w:cs="Arial"/>
          <w:b/>
        </w:rPr>
        <w:t>für Getreide inkl. Mais,</w:t>
      </w:r>
      <w:r w:rsidR="00E335A4" w:rsidRPr="00536AC1">
        <w:rPr>
          <w:rFonts w:ascii="Arial" w:hAnsi="Arial" w:cs="Arial"/>
          <w:b/>
        </w:rPr>
        <w:t xml:space="preserve"> </w:t>
      </w:r>
      <w:r w:rsidRPr="00536AC1">
        <w:rPr>
          <w:rFonts w:ascii="Arial" w:hAnsi="Arial" w:cs="Arial"/>
          <w:b/>
        </w:rPr>
        <w:t>Hülsenfrüchte und Ölsaaten</w:t>
      </w:r>
      <w:r w:rsidR="00E335A4" w:rsidRPr="00536AC1">
        <w:rPr>
          <w:rFonts w:ascii="Arial" w:hAnsi="Arial" w:cs="Arial"/>
          <w:b/>
        </w:rPr>
        <w:t xml:space="preserve"> </w:t>
      </w:r>
    </w:p>
    <w:p w14:paraId="2BBB7CFB" w14:textId="77777777" w:rsidR="00E335A4" w:rsidRDefault="00E335A4" w:rsidP="006D58AE"/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779"/>
        <w:gridCol w:w="779"/>
        <w:gridCol w:w="779"/>
        <w:gridCol w:w="760"/>
        <w:gridCol w:w="760"/>
        <w:gridCol w:w="760"/>
        <w:gridCol w:w="760"/>
        <w:gridCol w:w="812"/>
        <w:gridCol w:w="777"/>
        <w:gridCol w:w="651"/>
        <w:gridCol w:w="760"/>
      </w:tblGrid>
      <w:tr w:rsidR="003739AB" w:rsidRPr="003739AB" w14:paraId="08B45EF0" w14:textId="77777777" w:rsidTr="003739AB">
        <w:trPr>
          <w:trHeight w:val="480"/>
        </w:trPr>
        <w:tc>
          <w:tcPr>
            <w:tcW w:w="93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5B671" w14:textId="124C8246" w:rsidR="003739AB" w:rsidRPr="003739AB" w:rsidRDefault="003739AB" w:rsidP="003739AB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3739AB">
              <w:rPr>
                <w:rFonts w:ascii="Aptos Display" w:eastAsia="Times New Roman" w:hAnsi="Aptos Display" w:cs="Times New Roman"/>
                <w:b/>
                <w:bCs/>
                <w:color w:val="000000"/>
                <w:sz w:val="36"/>
                <w:szCs w:val="36"/>
                <w:lang w:eastAsia="de-DE"/>
              </w:rPr>
              <w:t>Abrechnung</w:t>
            </w:r>
            <w:r w:rsidR="009F3E81">
              <w:rPr>
                <w:rFonts w:ascii="Aptos Display" w:eastAsia="Times New Roman" w:hAnsi="Aptos Display" w:cs="Times New Roman"/>
                <w:b/>
                <w:bCs/>
                <w:color w:val="000000"/>
                <w:sz w:val="36"/>
                <w:szCs w:val="36"/>
                <w:lang w:eastAsia="de-DE"/>
              </w:rPr>
              <w:t>s</w:t>
            </w:r>
            <w:r w:rsidRPr="003739AB">
              <w:rPr>
                <w:rFonts w:ascii="Aptos Display" w:eastAsia="Times New Roman" w:hAnsi="Aptos Display" w:cs="Times New Roman"/>
                <w:b/>
                <w:bCs/>
                <w:color w:val="000000"/>
                <w:sz w:val="36"/>
                <w:szCs w:val="36"/>
                <w:lang w:eastAsia="de-DE"/>
              </w:rPr>
              <w:t>modalitäten der AHG Agrarhandel GmbH Erfurt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4DB0E" w14:textId="77777777" w:rsidR="003739AB" w:rsidRPr="003739AB" w:rsidRDefault="003739AB" w:rsidP="003739AB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36"/>
                <w:szCs w:val="36"/>
                <w:lang w:eastAsia="de-DE"/>
              </w:rPr>
            </w:pPr>
          </w:p>
        </w:tc>
      </w:tr>
      <w:tr w:rsidR="003739AB" w:rsidRPr="003739AB" w14:paraId="42BE85C2" w14:textId="77777777" w:rsidTr="003739AB">
        <w:trPr>
          <w:trHeight w:val="375"/>
        </w:trPr>
        <w:tc>
          <w:tcPr>
            <w:tcW w:w="63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ACF2B" w14:textId="77777777" w:rsidR="003739AB" w:rsidRPr="003739AB" w:rsidRDefault="003739AB" w:rsidP="003739AB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:lang w:eastAsia="de-DE"/>
              </w:rPr>
            </w:pPr>
            <w:r w:rsidRPr="003739AB"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:lang w:eastAsia="de-DE"/>
              </w:rPr>
              <w:t>für Getreide inkl. Mais, Hülsenfrüchte und Ölsaaten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A5E04" w14:textId="77777777" w:rsidR="003739AB" w:rsidRPr="003739AB" w:rsidRDefault="003739AB" w:rsidP="003739AB">
            <w:pPr>
              <w:spacing w:after="0" w:line="240" w:lineRule="auto"/>
              <w:rPr>
                <w:rFonts w:ascii="Aptos Display" w:eastAsia="Times New Roman" w:hAnsi="Aptos Display" w:cs="Times New Roman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59E8A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FDADE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C3C1B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AC043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739AB" w:rsidRPr="003739AB" w14:paraId="10F7AB4C" w14:textId="77777777" w:rsidTr="003739AB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E3EE4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F7B61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D2E2D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14A97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75F52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085D0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A38CF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2122C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00BF0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6A385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BFB09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A5A50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739AB" w:rsidRPr="003739AB" w14:paraId="46D0930F" w14:textId="77777777" w:rsidTr="003739AB">
        <w:trPr>
          <w:trHeight w:val="420"/>
        </w:trPr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33C62" w14:textId="77777777" w:rsidR="003739AB" w:rsidRPr="003739AB" w:rsidRDefault="003739AB" w:rsidP="003739AB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3739AB">
              <w:rPr>
                <w:rFonts w:ascii="Aptos Display" w:eastAsia="Times New Roman" w:hAnsi="Aptos Display" w:cs="Times New Roman"/>
                <w:b/>
                <w:bCs/>
                <w:color w:val="000000"/>
                <w:sz w:val="32"/>
                <w:szCs w:val="32"/>
                <w:lang w:eastAsia="de-DE"/>
              </w:rPr>
              <w:t>Qualitätsanforderungen Getreide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030CD" w14:textId="77777777" w:rsidR="003739AB" w:rsidRPr="003739AB" w:rsidRDefault="003739AB" w:rsidP="003739AB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D00F6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ACB10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CFBA7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F2383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23D85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EE47E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739AB" w:rsidRPr="003739AB" w14:paraId="6FB29533" w14:textId="77777777" w:rsidTr="003739AB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685C2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63F1C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01AFE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86C00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3FADE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BD956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D850B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5D7CD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4C762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1FABB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CA2C9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DE477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739AB" w:rsidRPr="003739AB" w14:paraId="5182AAD1" w14:textId="77777777" w:rsidTr="003739AB">
        <w:trPr>
          <w:trHeight w:val="5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2BBEA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BFD98C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E-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Weizen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09AC05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A-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Weizen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1925B2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B-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Weizen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C7C41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Futter-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Weizen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BAFA4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Brot-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</w:r>
            <w:proofErr w:type="spellStart"/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roggen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1F743D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Futter-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</w:r>
            <w:proofErr w:type="spellStart"/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roggen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BB463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Gerste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808D35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Brau-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</w:r>
            <w:proofErr w:type="spellStart"/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gerste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B6081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Triticale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60378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Hafer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3F67ED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Mais</w:t>
            </w:r>
          </w:p>
        </w:tc>
      </w:tr>
      <w:tr w:rsidR="003739AB" w:rsidRPr="003739AB" w14:paraId="78A3F57F" w14:textId="77777777" w:rsidTr="003739AB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1CDFE4DA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 xml:space="preserve">Feuchte in 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% max.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3944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14,5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B6C6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14,5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0B84C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2ACE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5E997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2E0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4C8A3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1DAD3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4A0AD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14,5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E663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7402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14,5</w:t>
            </w:r>
          </w:p>
        </w:tc>
      </w:tr>
      <w:tr w:rsidR="003739AB" w:rsidRPr="003739AB" w14:paraId="62E49DD7" w14:textId="77777777" w:rsidTr="003739AB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450DFC3A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 xml:space="preserve">Naturalgewicht 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in kg/hl min.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216E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77,0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85BA5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77,0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98ED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76,0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8B627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72,0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70C1ED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72,0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CC46B6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19500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62,0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DF585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40C4F5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70,0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0DC7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52,0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5DB8D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739AB" w:rsidRPr="003739AB" w14:paraId="5ED5A3BB" w14:textId="77777777" w:rsidTr="003739AB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77883757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 xml:space="preserve">Protein 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in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F692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min. 14,5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2385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min. 13,0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66F0B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min. 12,0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EF02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3FCDC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87BA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CC010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EC1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max. 11,5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E3D18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9C8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ECF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739AB" w:rsidRPr="003739AB" w14:paraId="49402807" w14:textId="77777777" w:rsidTr="003739AB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44F72708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Fallzahl in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Sek. min.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13F8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F5E9C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AD597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E1F6B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82902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A031A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5B9F5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BF113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C5686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B0066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F19DD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739AB" w:rsidRPr="003739AB" w14:paraId="6EBCE038" w14:textId="77777777" w:rsidTr="003739AB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3D4C6ADC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Sedimentation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min.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5D5A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620F5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B39FC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C505C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D52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4288F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4BA10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2AF8F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E02F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3FBE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83F9B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739AB" w:rsidRPr="003739AB" w14:paraId="41CB2F7A" w14:textId="77777777" w:rsidTr="003739AB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5EF2A60D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Bruchkorn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in % max.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D9238E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4,0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5C877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4,0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585AD0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0D8BF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7E28B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AA916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25B2D8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4,0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4ADA1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9C9098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640FEF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3E8EA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10,0</w:t>
            </w:r>
          </w:p>
        </w:tc>
      </w:tr>
      <w:tr w:rsidR="003739AB" w:rsidRPr="003739AB" w14:paraId="715D9C21" w14:textId="77777777" w:rsidTr="003739AB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2AE92653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Fremdgetreide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in % max.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112C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FA8B6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4542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A11B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887C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EAAA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971FE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70F64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63B62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E017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A2C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</w:tr>
      <w:tr w:rsidR="003739AB" w:rsidRPr="003739AB" w14:paraId="31B82C82" w14:textId="77777777" w:rsidTr="003739AB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2F3B8BE9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Mutterkorn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in % max.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32F1B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E2E0E5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DA92F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535DE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307690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1683F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9355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903F91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E38C45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0,02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891C56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111750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739AB" w:rsidRPr="003739AB" w14:paraId="7C8DD049" w14:textId="77777777" w:rsidTr="003739AB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019045E8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 xml:space="preserve">Auswuchs 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 xml:space="preserve">in % max.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7E1F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11E84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C763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036C8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7AD6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F37F7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2B880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CE210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584E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D6FAA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C9F8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2,0</w:t>
            </w:r>
          </w:p>
        </w:tc>
      </w:tr>
      <w:tr w:rsidR="003739AB" w:rsidRPr="003739AB" w14:paraId="62B36285" w14:textId="77777777" w:rsidTr="003739AB">
        <w:trPr>
          <w:trHeight w:val="5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vAlign w:val="bottom"/>
            <w:hideMark/>
          </w:tcPr>
          <w:p w14:paraId="677C6C44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Fusarium</w:t>
            </w: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br/>
              <w:t>in % max.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26544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39F26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D2630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AEA772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5AC077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967F55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F9B26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0FCE49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6972F3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6BC978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1CB75E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1,0</w:t>
            </w:r>
          </w:p>
        </w:tc>
      </w:tr>
      <w:tr w:rsidR="003739AB" w:rsidRPr="003739AB" w14:paraId="48D806AD" w14:textId="77777777" w:rsidTr="003739AB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777AA" w14:textId="77777777" w:rsidR="003739AB" w:rsidRPr="003739AB" w:rsidRDefault="003739AB" w:rsidP="003739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66516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0DCE6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75094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AFC54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F160E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DF486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A7F90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C8AB5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221F5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DBCE7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497FF" w14:textId="77777777" w:rsidR="003739AB" w:rsidRPr="003739AB" w:rsidRDefault="003739AB" w:rsidP="0037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739AB" w:rsidRPr="003739AB" w14:paraId="601967B7" w14:textId="77777777" w:rsidTr="003739AB">
        <w:trPr>
          <w:trHeight w:val="270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2284EA33" w14:textId="77777777" w:rsidR="003739AB" w:rsidRPr="003739AB" w:rsidRDefault="003739AB" w:rsidP="003739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</w:pPr>
            <w:r w:rsidRPr="003739AB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e-DE"/>
              </w:rPr>
              <w:t>Anforderungen Braugerste: Reinheit min. 98 %, Sortenreinheit min. 93%, Keimenergie min. 95 %, Vollgerste min. 90 %, Ausputz max. 2 %, kein Schimmelbefall</w:t>
            </w:r>
          </w:p>
        </w:tc>
      </w:tr>
    </w:tbl>
    <w:p w14:paraId="52B6729D" w14:textId="1AFE44CE" w:rsidR="00E335A4" w:rsidRDefault="00E335A4" w:rsidP="006D58AE"/>
    <w:p w14:paraId="3C57CB2D" w14:textId="77777777" w:rsidR="006D58AE" w:rsidRDefault="006D58AE" w:rsidP="006D58AE"/>
    <w:p w14:paraId="0F1A4488" w14:textId="1E1BD348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Grundlage des Handels ist gesunde, handelsübliche Ware, frei von Schadstoffen, Exkrementen, toten und lebenden Schädlingen</w:t>
      </w:r>
      <w:r w:rsidR="00316CC8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sowie getreidefremden Stoffen und Gegenständen, erzeugt, gelagert und transportiert auf Basis guter fachlicher Praxis unter</w:t>
      </w:r>
      <w:r w:rsidR="00316CC8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Einhaltung der privat- (GMP+B3, GMP+B4 oder vergleichbaren anerkannten QM-Standards) und/oder öffentlich-rechtlichen Vorgaben.</w:t>
      </w:r>
      <w:r w:rsidR="00342C60">
        <w:rPr>
          <w:rFonts w:ascii="Arial" w:hAnsi="Arial" w:cs="Arial"/>
          <w:sz w:val="24"/>
          <w:szCs w:val="24"/>
        </w:rPr>
        <w:br/>
      </w:r>
      <w:r w:rsidRPr="00316CC8">
        <w:rPr>
          <w:rFonts w:ascii="Arial" w:hAnsi="Arial" w:cs="Arial"/>
          <w:sz w:val="24"/>
          <w:szCs w:val="24"/>
        </w:rPr>
        <w:t>Diese beinhalten unter anderem die Anforderungen an die Beschaffenheit der jeweiligen EU und nationalen gesetzlichen</w:t>
      </w:r>
      <w:r w:rsidR="00316CC8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Bestimmungen, insbesondere das Lebensmittel- und Futtermittelrecht, das Pflanzenschutz- und Düngemittelgesetz sowie flankierende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Verordnungen wie z. B. VO (EG) 178/2002, der </w:t>
      </w:r>
      <w:proofErr w:type="spellStart"/>
      <w:r w:rsidRPr="00316CC8">
        <w:rPr>
          <w:rFonts w:ascii="Arial" w:hAnsi="Arial" w:cs="Arial"/>
          <w:sz w:val="24"/>
          <w:szCs w:val="24"/>
        </w:rPr>
        <w:t>LebensmittelhygieneVO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, VO (EG) 852/2004, und der </w:t>
      </w:r>
      <w:proofErr w:type="spellStart"/>
      <w:r w:rsidRPr="00316CC8">
        <w:rPr>
          <w:rFonts w:ascii="Arial" w:hAnsi="Arial" w:cs="Arial"/>
          <w:sz w:val="24"/>
          <w:szCs w:val="24"/>
        </w:rPr>
        <w:t>FuttermittelhygieneVO,VO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(EG) Nr. 183/2005, der Anlage 3 zur Verordnung über den Verkehr mit Saatgut landwirtschaftlicher Arten und von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Gemüsesaatgut vom 21. Januar 1986, der </w:t>
      </w:r>
      <w:proofErr w:type="spellStart"/>
      <w:r w:rsidRPr="00316CC8">
        <w:rPr>
          <w:rFonts w:ascii="Arial" w:hAnsi="Arial" w:cs="Arial"/>
          <w:sz w:val="24"/>
          <w:szCs w:val="24"/>
        </w:rPr>
        <w:t>HöchstmengenVO</w:t>
      </w:r>
      <w:proofErr w:type="spellEnd"/>
      <w:r w:rsidRPr="00316CC8">
        <w:rPr>
          <w:rFonts w:ascii="Arial" w:hAnsi="Arial" w:cs="Arial"/>
          <w:sz w:val="24"/>
          <w:szCs w:val="24"/>
        </w:rPr>
        <w:t>, nicht kennzeichnungspflichtig im Sinne der Verordnungen (EG)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Nr. 1829/2003 (Verordnung zur Kennzeichnung genetisch veränderter Lebens- und Futtermittel) und Nr. 1830/2003 (Verordnung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zur Rückverfolgbarkeit und Kennzeichnung von GVO und über die Rückverfolgbarkeit und Kennzeichnung von aus GVO hergestellten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Lebens- und Futtermitteln), </w:t>
      </w:r>
      <w:proofErr w:type="spellStart"/>
      <w:r w:rsidRPr="00316CC8">
        <w:rPr>
          <w:rFonts w:ascii="Arial" w:hAnsi="Arial" w:cs="Arial"/>
          <w:sz w:val="24"/>
          <w:szCs w:val="24"/>
        </w:rPr>
        <w:t>Kontaminantenverordnung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lastRenderedPageBreak/>
        <w:t>VO EU NR. 1881/2006, sowie die Richtlinie (EU) 2018/2001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in den jeweils gültigen Fassungen. Die gelieferten Ernteerzeugnisse stammen nicht von mit Klärschlamm gedüngten Flächen.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Enthält die Ware schädliche Bestandteile, die bestimmungs-/vereinbarungsgemäß nicht in die Ware hineingehören, behält sich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die </w:t>
      </w:r>
      <w:r w:rsidR="00AB3C1A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vor, die Abnahme der Ware zur Kostenlast des Lieferanten, zu verweigern.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Am Ernteerzeugnis vorgenommene chemische Behandlungen sind anzuzeigen. Rückstände von Pflanzenschutzmitteln dürfen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die gesetzlichen Höchstgehalte gem. VO (EG) 396/2005 oder anderer gesetzlicher Regelungen in den jeweils aktuellen gültigen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Fassungen nicht überschreiten. Der Verkäufer ist verantwortlich für den Nachweis der Zulassung und ordnungsgemäßen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Anwendung (ggf. Sachkundenachweis für die Ausbringung und Anwendung von </w:t>
      </w:r>
      <w:proofErr w:type="spellStart"/>
      <w:r w:rsidRPr="00316CC8">
        <w:rPr>
          <w:rFonts w:ascii="Arial" w:hAnsi="Arial" w:cs="Arial"/>
          <w:sz w:val="24"/>
          <w:szCs w:val="24"/>
        </w:rPr>
        <w:t>Schadnagergiften</w:t>
      </w:r>
      <w:proofErr w:type="spellEnd"/>
      <w:r w:rsidRPr="00316CC8">
        <w:rPr>
          <w:rFonts w:ascii="Arial" w:hAnsi="Arial" w:cs="Arial"/>
          <w:sz w:val="24"/>
          <w:szCs w:val="24"/>
        </w:rPr>
        <w:t>) des Schädlingsbekämpfungsmittels.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Der Lagerhalter, in seiner Eigenschaft als Verkäufer sichert die Eignung des Lagerraumes und die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Warengesunderhaltung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gemäß EU-Verordnungen 852/2004 (Vorschriften zur Lebensmittelhygiene) und 183/2005 (Vorschriften zur Futtermittelhygiene)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zu. Er erklärt, dass er die „Maßnahmen für den hygienischen Umgang mit Getreide, Ölsaaten und Leguminosen“ (DRV, Stand: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Mai 2019) kennt und er alles unternimmt, diese zu befolgen. Bei erfolglosen Kontraktabruf (Verweigerung der Auslagerung durch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den Verkäufer) werden ggf. vereinbarte Lagergeldzahlungen / Reports ab diesem Zeitpunkt unwirksam.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Die zum Transport der Ware eingesetzten Fahrzeuge müssen sich in einem ordnungsgemäßen Zustand befinden und für diese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Zwecke geeignet sein. Die Hygiene und Reinigung von Transportfahrzeugen und </w:t>
      </w:r>
      <w:r w:rsidR="00C7087B">
        <w:rPr>
          <w:rFonts w:ascii="Arial" w:hAnsi="Arial" w:cs="Arial"/>
          <w:sz w:val="24"/>
          <w:szCs w:val="24"/>
        </w:rPr>
        <w:t>L</w:t>
      </w:r>
      <w:r w:rsidRPr="00316CC8">
        <w:rPr>
          <w:rFonts w:ascii="Arial" w:hAnsi="Arial" w:cs="Arial"/>
          <w:sz w:val="24"/>
          <w:szCs w:val="24"/>
        </w:rPr>
        <w:t>agerstätten orientiert sich an branchenspezifischen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Standards wie z.B. GMP+B3, GMP+B4, QS oder vergleichbar. Reinigungsvorgaben für Transportfahrzeuge gem.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IDTF-Datenbank (</w:t>
      </w:r>
      <w:hyperlink r:id="rId6" w:history="1">
        <w:r w:rsidR="00C7087B" w:rsidRPr="00786B93">
          <w:rPr>
            <w:rStyle w:val="Hyperlink"/>
            <w:rFonts w:ascii="Arial" w:hAnsi="Arial" w:cs="Arial"/>
            <w:sz w:val="24"/>
            <w:szCs w:val="24"/>
          </w:rPr>
          <w:t>www.icrt-idtf.com</w:t>
        </w:r>
      </w:hyperlink>
      <w:r w:rsidRPr="00316CC8">
        <w:rPr>
          <w:rFonts w:ascii="Arial" w:hAnsi="Arial" w:cs="Arial"/>
          <w:sz w:val="24"/>
          <w:szCs w:val="24"/>
        </w:rPr>
        <w:t>).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Nachhaltigkeit: Bei Ware, die den Zusatz nachhaltig enthält, entspricht die gelieferte Biomasse den Anforderungen der Richtlinie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(EU) 2018/2001 in der zum Zeitpunkt der Lieferung gültigen Fassung. Die Nachhaltigkeit der Biomasse ist durch die in der Richtlinie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geforderte Dokumentation spätestens bei Lieferung nachzuweisen (Selbsterklärung des landwirtschaftlichen Betriebes zur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Nachhaltigkeit von Biomasse in der jeweils vom Zertifizierungssystem </w:t>
      </w:r>
      <w:proofErr w:type="spellStart"/>
      <w:r w:rsidRPr="00316CC8">
        <w:rPr>
          <w:rFonts w:ascii="Arial" w:hAnsi="Arial" w:cs="Arial"/>
          <w:sz w:val="24"/>
          <w:szCs w:val="24"/>
        </w:rPr>
        <w:t>REDcert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zugelassenen Version) Liegt die Selbsterklärung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zum Zeitpunkt der Anlieferung nicht vor, wird die Ware als „nicht nachhaltig“ angenommen, und mit einem Preisabschlag von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="00AB3C1A">
        <w:rPr>
          <w:rFonts w:ascii="Arial" w:hAnsi="Arial" w:cs="Arial"/>
          <w:sz w:val="24"/>
          <w:szCs w:val="24"/>
        </w:rPr>
        <w:t>5</w:t>
      </w:r>
      <w:r w:rsidRPr="00316CC8">
        <w:rPr>
          <w:rFonts w:ascii="Arial" w:hAnsi="Arial" w:cs="Arial"/>
          <w:sz w:val="24"/>
          <w:szCs w:val="24"/>
        </w:rPr>
        <w:t>,00 EUR/</w:t>
      </w:r>
      <w:proofErr w:type="spellStart"/>
      <w:r w:rsidRPr="00316CC8">
        <w:rPr>
          <w:rFonts w:ascii="Arial" w:hAnsi="Arial" w:cs="Arial"/>
          <w:sz w:val="24"/>
          <w:szCs w:val="24"/>
        </w:rPr>
        <w:t>to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in der Getreide-/Rapsabrechnung versehen.</w:t>
      </w:r>
    </w:p>
    <w:p w14:paraId="7DC3DE4F" w14:textId="77777777" w:rsidR="00F56F23" w:rsidRPr="00F56F23" w:rsidRDefault="006D58AE" w:rsidP="00316CC8">
      <w:pPr>
        <w:rPr>
          <w:rFonts w:ascii="Arial" w:hAnsi="Arial" w:cs="Arial"/>
          <w:b/>
          <w:sz w:val="24"/>
          <w:szCs w:val="24"/>
        </w:rPr>
      </w:pPr>
      <w:r w:rsidRPr="00F56F23">
        <w:rPr>
          <w:rFonts w:ascii="Arial" w:hAnsi="Arial" w:cs="Arial"/>
          <w:b/>
          <w:sz w:val="24"/>
          <w:szCs w:val="24"/>
        </w:rPr>
        <w:t>1. Definition der Bestandteile, die nach Untersuchung der äußeren Beschaffenheit kein einwandfreies Grundgetreide sind</w:t>
      </w:r>
      <w:r w:rsidR="00C7087B" w:rsidRPr="00F56F23">
        <w:rPr>
          <w:rFonts w:ascii="Arial" w:hAnsi="Arial" w:cs="Arial"/>
          <w:b/>
          <w:sz w:val="24"/>
          <w:szCs w:val="24"/>
        </w:rPr>
        <w:t xml:space="preserve"> </w:t>
      </w:r>
    </w:p>
    <w:p w14:paraId="5E3472C9" w14:textId="70CE716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Bei Anlieferung nicht gereinigter Ware erfolgt auf Kosten des Lieferanten eine Aufbereitung. Die Aspiration</w:t>
      </w:r>
      <w:r w:rsidR="00F56F23">
        <w:rPr>
          <w:rFonts w:ascii="Arial" w:hAnsi="Arial" w:cs="Arial"/>
          <w:sz w:val="24"/>
          <w:szCs w:val="24"/>
        </w:rPr>
        <w:t xml:space="preserve"> </w:t>
      </w:r>
      <w:r w:rsidR="00F56F23" w:rsidRPr="00F56F23">
        <w:rPr>
          <w:rFonts w:ascii="Arial" w:hAnsi="Arial" w:cs="Arial"/>
          <w:color w:val="FF0000"/>
          <w:sz w:val="24"/>
          <w:szCs w:val="24"/>
        </w:rPr>
        <w:t>Besatz</w:t>
      </w:r>
      <w:r w:rsidRPr="00316CC8">
        <w:rPr>
          <w:rFonts w:ascii="Arial" w:hAnsi="Arial" w:cs="Arial"/>
          <w:sz w:val="24"/>
          <w:szCs w:val="24"/>
        </w:rPr>
        <w:t xml:space="preserve"> wird mittels Laborreiniger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(Aspirateur) ermittelt. Es erfolgt eine weitere Handauslesung der verschiedenen Fraktionen. Aufgrund von Abriebs-, </w:t>
      </w:r>
      <w:proofErr w:type="spellStart"/>
      <w:r w:rsidRPr="00316CC8">
        <w:rPr>
          <w:rFonts w:ascii="Arial" w:hAnsi="Arial" w:cs="Arial"/>
          <w:sz w:val="24"/>
          <w:szCs w:val="24"/>
        </w:rPr>
        <w:t>Riesel</w:t>
      </w:r>
      <w:proofErr w:type="spellEnd"/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und/oder Verladeverlusten erfolgt bei Ernteanlieferungen ein Aspirationsabzug von mind. 0,5%.</w:t>
      </w:r>
    </w:p>
    <w:p w14:paraId="1D246D0D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&gt; </w:t>
      </w:r>
      <w:r w:rsidRPr="002B6943">
        <w:rPr>
          <w:rFonts w:ascii="Arial" w:hAnsi="Arial" w:cs="Arial"/>
          <w:b/>
          <w:sz w:val="24"/>
          <w:szCs w:val="24"/>
        </w:rPr>
        <w:t xml:space="preserve">Zur Aspiration </w:t>
      </w:r>
      <w:r w:rsidR="00F56F23" w:rsidRPr="00F56F23">
        <w:rPr>
          <w:rFonts w:ascii="Arial" w:hAnsi="Arial" w:cs="Arial"/>
          <w:b/>
          <w:color w:val="FF0000"/>
          <w:sz w:val="24"/>
          <w:szCs w:val="24"/>
        </w:rPr>
        <w:t xml:space="preserve">Besatz </w:t>
      </w:r>
      <w:r w:rsidRPr="002B6943">
        <w:rPr>
          <w:rFonts w:ascii="Arial" w:hAnsi="Arial" w:cs="Arial"/>
          <w:b/>
          <w:sz w:val="24"/>
          <w:szCs w:val="24"/>
        </w:rPr>
        <w:t>zählen</w:t>
      </w:r>
      <w:r w:rsidRPr="00316CC8">
        <w:rPr>
          <w:rFonts w:ascii="Arial" w:hAnsi="Arial" w:cs="Arial"/>
          <w:sz w:val="24"/>
          <w:szCs w:val="24"/>
        </w:rPr>
        <w:t>:</w:t>
      </w:r>
    </w:p>
    <w:p w14:paraId="19785202" w14:textId="77777777" w:rsidR="00C7087B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• </w:t>
      </w:r>
      <w:r w:rsidRPr="002B6943">
        <w:rPr>
          <w:rFonts w:ascii="Arial" w:hAnsi="Arial" w:cs="Arial"/>
          <w:b/>
          <w:sz w:val="24"/>
          <w:szCs w:val="24"/>
        </w:rPr>
        <w:t>verdorbene Körner</w:t>
      </w:r>
      <w:r w:rsidRPr="00316CC8">
        <w:rPr>
          <w:rFonts w:ascii="Arial" w:hAnsi="Arial" w:cs="Arial"/>
          <w:sz w:val="24"/>
          <w:szCs w:val="24"/>
        </w:rPr>
        <w:t xml:space="preserve">, die durch Fäulnis, </w:t>
      </w:r>
      <w:proofErr w:type="spellStart"/>
      <w:r w:rsidRPr="00316CC8">
        <w:rPr>
          <w:rFonts w:ascii="Arial" w:hAnsi="Arial" w:cs="Arial"/>
          <w:sz w:val="24"/>
          <w:szCs w:val="24"/>
        </w:rPr>
        <w:t>Fusarien</w:t>
      </w:r>
      <w:proofErr w:type="spellEnd"/>
      <w:r w:rsidRPr="00316CC8">
        <w:rPr>
          <w:rFonts w:ascii="Arial" w:hAnsi="Arial" w:cs="Arial"/>
          <w:sz w:val="24"/>
          <w:szCs w:val="24"/>
        </w:rPr>
        <w:t>-, Schimmel- oder Bakterienbefall oder auch sonstige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Einwirkungen für die menschliche Ernährung und bei Futtergetreide für die Fütterung unbrauchbar geworden sind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(auch durch Selbsterhitzung oder zu starke Trocknung geschädigte Körner)</w:t>
      </w:r>
      <w:r w:rsidR="00C7087B">
        <w:rPr>
          <w:rFonts w:ascii="Arial" w:hAnsi="Arial" w:cs="Arial"/>
          <w:sz w:val="24"/>
          <w:szCs w:val="24"/>
        </w:rPr>
        <w:t xml:space="preserve"> </w:t>
      </w:r>
    </w:p>
    <w:p w14:paraId="37EED8BD" w14:textId="22B485C3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• </w:t>
      </w:r>
      <w:r w:rsidRPr="002B6943">
        <w:rPr>
          <w:rFonts w:ascii="Arial" w:hAnsi="Arial" w:cs="Arial"/>
          <w:b/>
          <w:sz w:val="24"/>
          <w:szCs w:val="24"/>
        </w:rPr>
        <w:t>Verunreinigungen</w:t>
      </w:r>
      <w:r w:rsidRPr="00316CC8">
        <w:rPr>
          <w:rFonts w:ascii="Arial" w:hAnsi="Arial" w:cs="Arial"/>
          <w:sz w:val="24"/>
          <w:szCs w:val="24"/>
        </w:rPr>
        <w:t>: Zu den Verunreinigungen zählen sowohl die in einer Getreideprobe enthaltenen Bestandteile,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die auf dem </w:t>
      </w:r>
      <w:proofErr w:type="spellStart"/>
      <w:r w:rsidRPr="00316CC8">
        <w:rPr>
          <w:rFonts w:ascii="Arial" w:hAnsi="Arial" w:cs="Arial"/>
          <w:sz w:val="24"/>
          <w:szCs w:val="24"/>
        </w:rPr>
        <w:t>Obersieb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zurückbleiben, Steine, Erdklumpen, Strohteile und andere Verunreinigungen aus allen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Fraktionen (ausgenommen Fremdgetreide und Körner des Grundgetreides) als auch Bestandteile, die beim Sieben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mit einem 1,8 mm Schlitzsieb (Roggen, Triticale, Hafer) bzw. 2,0 mm (Weizen, Gerste) durchfallen (bei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erhöhtem Schmachtkornanteil behält sich die </w:t>
      </w:r>
      <w:r w:rsidR="00AB3C1A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vor, diesen separat auszuweisen und abzurechnen – siehe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Abzugstabelle für Schmachtkorn), sowie Staub, Spelzen, tote Insekten außer Getreideschädlinge.</w:t>
      </w:r>
    </w:p>
    <w:p w14:paraId="052544C9" w14:textId="77777777" w:rsidR="00401358" w:rsidRDefault="00401358" w:rsidP="00316CC8">
      <w:pPr>
        <w:rPr>
          <w:rFonts w:ascii="Arial" w:hAnsi="Arial" w:cs="Arial"/>
          <w:sz w:val="24"/>
          <w:szCs w:val="24"/>
        </w:rPr>
      </w:pPr>
    </w:p>
    <w:p w14:paraId="60FDA579" w14:textId="73BF18BF" w:rsidR="00DE5EF1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• </w:t>
      </w:r>
      <w:r w:rsidRPr="002B6943">
        <w:rPr>
          <w:rFonts w:ascii="Arial" w:hAnsi="Arial" w:cs="Arial"/>
          <w:b/>
          <w:sz w:val="24"/>
          <w:szCs w:val="24"/>
        </w:rPr>
        <w:t>Fremdkörner</w:t>
      </w:r>
      <w:r w:rsidRPr="00316CC8">
        <w:rPr>
          <w:rFonts w:ascii="Arial" w:hAnsi="Arial" w:cs="Arial"/>
          <w:sz w:val="24"/>
          <w:szCs w:val="24"/>
        </w:rPr>
        <w:t>: (Körner von angebauten und nicht angebauten Pflanzen außer Getreide)</w:t>
      </w:r>
      <w:r w:rsidR="00C7087B">
        <w:rPr>
          <w:rFonts w:ascii="Arial" w:hAnsi="Arial" w:cs="Arial"/>
          <w:sz w:val="24"/>
          <w:szCs w:val="24"/>
        </w:rPr>
        <w:t xml:space="preserve"> </w:t>
      </w:r>
    </w:p>
    <w:p w14:paraId="7DC1F27D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lastRenderedPageBreak/>
        <w:t>grüne oder unreife Körner</w:t>
      </w:r>
      <w:r w:rsidRPr="00316CC8">
        <w:rPr>
          <w:rFonts w:ascii="Arial" w:hAnsi="Arial" w:cs="Arial"/>
          <w:sz w:val="24"/>
          <w:szCs w:val="24"/>
        </w:rPr>
        <w:t xml:space="preserve"> der jeweiligen Art</w:t>
      </w:r>
    </w:p>
    <w:p w14:paraId="148095F5" w14:textId="0ED79E9E" w:rsidR="006D58AE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• </w:t>
      </w:r>
      <w:r w:rsidRPr="002B6943">
        <w:rPr>
          <w:rFonts w:ascii="Arial" w:hAnsi="Arial" w:cs="Arial"/>
          <w:b/>
          <w:sz w:val="24"/>
          <w:szCs w:val="24"/>
        </w:rPr>
        <w:t>Mutterkorn:</w:t>
      </w:r>
      <w:r w:rsidRPr="00316CC8">
        <w:rPr>
          <w:rFonts w:ascii="Arial" w:hAnsi="Arial" w:cs="Arial"/>
          <w:sz w:val="24"/>
          <w:szCs w:val="24"/>
        </w:rPr>
        <w:t xml:space="preserve"> Als maximal gilt bei Brotgetreide 0,0</w:t>
      </w:r>
      <w:r w:rsidR="00342C60">
        <w:rPr>
          <w:rFonts w:ascii="Arial" w:hAnsi="Arial" w:cs="Arial"/>
          <w:sz w:val="24"/>
          <w:szCs w:val="24"/>
        </w:rPr>
        <w:t>2</w:t>
      </w:r>
      <w:r w:rsidRPr="00316CC8">
        <w:rPr>
          <w:rFonts w:ascii="Arial" w:hAnsi="Arial" w:cs="Arial"/>
          <w:sz w:val="24"/>
          <w:szCs w:val="24"/>
        </w:rPr>
        <w:t>% und bei Futtergetreide 0,1%, jedoch immer die zum Zeitpunkt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der Lieferung gültigen Grenzwerte. Bei Überschreitung wird die Ware auf Kosten des Lieferanten bei der </w:t>
      </w:r>
      <w:r w:rsidR="00AB3C1A">
        <w:rPr>
          <w:rFonts w:ascii="Arial" w:hAnsi="Arial" w:cs="Arial"/>
          <w:sz w:val="24"/>
          <w:szCs w:val="24"/>
        </w:rPr>
        <w:t>AHG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eingelagert und gemeinsam nach einer Verwertungsmöglichkeit gesucht bzw. dem Lieferanten wieder zur Verfügung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gestellt.</w:t>
      </w:r>
    </w:p>
    <w:p w14:paraId="240584E3" w14:textId="77777777" w:rsidR="007A24C8" w:rsidRDefault="007A24C8" w:rsidP="007A24C8">
      <w:pPr>
        <w:pStyle w:val="KeinLeerraum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color w:val="538135" w:themeColor="accent6" w:themeShade="BF"/>
          <w:sz w:val="24"/>
          <w:szCs w:val="24"/>
        </w:rPr>
        <w:t>Mutterkorn:</w:t>
      </w:r>
      <w:r>
        <w:rPr>
          <w:rFonts w:ascii="Arial" w:hAnsi="Arial" w:cs="Arial"/>
          <w:color w:val="538135" w:themeColor="accent6" w:themeShade="BF"/>
          <w:sz w:val="24"/>
          <w:szCs w:val="24"/>
        </w:rPr>
        <w:tab/>
      </w:r>
      <w:r>
        <w:rPr>
          <w:rFonts w:ascii="Arial" w:hAnsi="Arial" w:cs="Arial"/>
          <w:color w:val="538135" w:themeColor="accent6" w:themeShade="BF"/>
          <w:sz w:val="24"/>
          <w:szCs w:val="24"/>
        </w:rPr>
        <w:tab/>
      </w: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 xml:space="preserve">Preisabschläge für erhöhten Mutterkornanteil </w:t>
      </w:r>
    </w:p>
    <w:p w14:paraId="02C7CABD" w14:textId="1020E68D" w:rsidR="007A24C8" w:rsidRDefault="007A24C8" w:rsidP="007A24C8">
      <w:pPr>
        <w:pStyle w:val="KeinLeerraum"/>
        <w:ind w:left="1418" w:firstLine="709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>bei 0,0</w:t>
      </w:r>
      <w:r w:rsidR="00342C60">
        <w:rPr>
          <w:rFonts w:ascii="Arial" w:hAnsi="Arial" w:cs="Arial"/>
          <w:color w:val="538135" w:themeColor="accent6" w:themeShade="BF"/>
          <w:sz w:val="24"/>
          <w:szCs w:val="24"/>
        </w:rPr>
        <w:t>3</w:t>
      </w: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 xml:space="preserve"> % bis 0,0</w:t>
      </w:r>
      <w:r w:rsidR="00342C60">
        <w:rPr>
          <w:rFonts w:ascii="Arial" w:hAnsi="Arial" w:cs="Arial"/>
          <w:color w:val="538135" w:themeColor="accent6" w:themeShade="BF"/>
          <w:sz w:val="24"/>
          <w:szCs w:val="24"/>
        </w:rPr>
        <w:t>5</w:t>
      </w: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 xml:space="preserve"> % = </w:t>
      </w:r>
      <w:r w:rsidR="00342C60">
        <w:rPr>
          <w:rFonts w:ascii="Arial" w:hAnsi="Arial" w:cs="Arial"/>
          <w:color w:val="538135" w:themeColor="accent6" w:themeShade="BF"/>
          <w:sz w:val="24"/>
          <w:szCs w:val="24"/>
        </w:rPr>
        <w:t>3</w:t>
      </w: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 xml:space="preserve">0,00 €/t Abzug </w:t>
      </w:r>
    </w:p>
    <w:p w14:paraId="45B97912" w14:textId="39771847" w:rsidR="007A24C8" w:rsidRDefault="007A24C8" w:rsidP="007A24C8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>bei 0,</w:t>
      </w:r>
      <w:r w:rsidR="00342C60">
        <w:rPr>
          <w:rFonts w:ascii="Arial" w:hAnsi="Arial" w:cs="Arial"/>
          <w:color w:val="538135" w:themeColor="accent6" w:themeShade="BF"/>
          <w:sz w:val="24"/>
          <w:szCs w:val="24"/>
        </w:rPr>
        <w:t>06</w:t>
      </w: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 xml:space="preserve"> % bis 0,</w:t>
      </w:r>
      <w:r w:rsidR="00342C60">
        <w:rPr>
          <w:rFonts w:ascii="Arial" w:hAnsi="Arial" w:cs="Arial"/>
          <w:color w:val="538135" w:themeColor="accent6" w:themeShade="BF"/>
          <w:sz w:val="24"/>
          <w:szCs w:val="24"/>
        </w:rPr>
        <w:t>1</w:t>
      </w: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 xml:space="preserve">0 % = </w:t>
      </w:r>
      <w:r w:rsidR="00342C60">
        <w:rPr>
          <w:rFonts w:ascii="Arial" w:hAnsi="Arial" w:cs="Arial"/>
          <w:color w:val="538135" w:themeColor="accent6" w:themeShade="BF"/>
          <w:sz w:val="24"/>
          <w:szCs w:val="24"/>
        </w:rPr>
        <w:t>40</w:t>
      </w: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 xml:space="preserve">,00 €/t Abzug </w:t>
      </w:r>
    </w:p>
    <w:p w14:paraId="10B16A8E" w14:textId="77777777" w:rsidR="00342C60" w:rsidRDefault="00342C60" w:rsidP="007A24C8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71D1E28E" w14:textId="00B29D29" w:rsidR="007A24C8" w:rsidRPr="00316CC8" w:rsidRDefault="007A24C8" w:rsidP="00A12D81">
      <w:pPr>
        <w:pStyle w:val="KeinLeerraum"/>
        <w:rPr>
          <w:rFonts w:ascii="Arial" w:hAnsi="Arial" w:cs="Arial"/>
          <w:sz w:val="24"/>
          <w:szCs w:val="24"/>
        </w:rPr>
      </w:pP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>Die Käuferin hat das Recht, Ware mit einem Mutterkornanteil</w:t>
      </w:r>
      <w:r w:rsidR="00A12D81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>&gt; 0,1 % zu stoßen.</w:t>
      </w:r>
      <w:r w:rsidR="00A12D81">
        <w:rPr>
          <w:rFonts w:ascii="Arial" w:hAnsi="Arial" w:cs="Arial"/>
          <w:color w:val="538135" w:themeColor="accent6" w:themeShade="BF"/>
          <w:sz w:val="24"/>
          <w:szCs w:val="24"/>
        </w:rPr>
        <w:br/>
      </w:r>
      <w:r w:rsidRPr="00B80367">
        <w:rPr>
          <w:rFonts w:ascii="Arial" w:hAnsi="Arial" w:cs="Arial"/>
          <w:color w:val="538135" w:themeColor="accent6" w:themeShade="BF"/>
          <w:sz w:val="24"/>
          <w:szCs w:val="24"/>
        </w:rPr>
        <w:t>Ansonsten gelten die vorstehenden Abzüge.</w:t>
      </w:r>
      <w:r w:rsidR="00A12D81">
        <w:rPr>
          <w:rFonts w:ascii="Arial" w:hAnsi="Arial" w:cs="Arial"/>
          <w:color w:val="538135" w:themeColor="accent6" w:themeShade="BF"/>
          <w:sz w:val="24"/>
          <w:szCs w:val="24"/>
        </w:rPr>
        <w:br/>
      </w:r>
    </w:p>
    <w:p w14:paraId="1BED45D8" w14:textId="77777777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Im Getreide dürfen keine Exkremente von Lebewesen und deren Rückstände sein. Die Ware darf keine toten und lebenden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Getreideschädlinge (in allen Entwicklungsstufen) aufweisen. Bei Schädlingsbefall werden dem Verkäufer die Kosten der Schädlingsbekämpfung</w:t>
      </w:r>
      <w:r w:rsidR="00C7087B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sowie ggf. anfallende Mehrtransportkosten in Abzug gebracht. Zudem behält sich der Käufer vor, eine Neubewertung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der Ware vorzunehmen bzw. die Ware zurückzuweisen. Das Gleiche gilt für die Feststellung von tierischen Exkrementen.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789D2471" w14:textId="77777777" w:rsidR="006D58AE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Die Ware darf wegen </w:t>
      </w:r>
      <w:proofErr w:type="spellStart"/>
      <w:r w:rsidRPr="00316CC8">
        <w:rPr>
          <w:rFonts w:ascii="Arial" w:hAnsi="Arial" w:cs="Arial"/>
          <w:sz w:val="24"/>
          <w:szCs w:val="24"/>
        </w:rPr>
        <w:t>Fusarienbefalls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verfärbte oder verformte Körner nur bis zu einem Maximalanteil von 1,0% ausweisen, sowie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einen max. DON-Wert von 0,35 mg/kg, einen. max. ZEA-Wert von 0,05 mg/kg enthalten.</w:t>
      </w:r>
    </w:p>
    <w:p w14:paraId="3F8BED00" w14:textId="6051DAC9" w:rsidR="00F56F23" w:rsidRDefault="00F56F23" w:rsidP="00316CC8">
      <w:pPr>
        <w:rPr>
          <w:rFonts w:ascii="Arial" w:hAnsi="Arial" w:cs="Arial"/>
          <w:color w:val="FF0000"/>
          <w:sz w:val="24"/>
          <w:szCs w:val="24"/>
        </w:rPr>
      </w:pPr>
      <w:r w:rsidRPr="00C52657">
        <w:rPr>
          <w:rFonts w:ascii="Arial" w:hAnsi="Arial" w:cs="Arial"/>
          <w:color w:val="FF0000"/>
          <w:sz w:val="24"/>
          <w:szCs w:val="24"/>
        </w:rPr>
        <w:t xml:space="preserve">Bei Überschreitung dieser </w:t>
      </w:r>
      <w:proofErr w:type="spellStart"/>
      <w:r w:rsidRPr="00C52657">
        <w:rPr>
          <w:rFonts w:ascii="Arial" w:hAnsi="Arial" w:cs="Arial"/>
          <w:color w:val="FF0000"/>
          <w:sz w:val="24"/>
          <w:szCs w:val="24"/>
        </w:rPr>
        <w:t>max</w:t>
      </w:r>
      <w:proofErr w:type="spellEnd"/>
      <w:r w:rsidRPr="00C52657">
        <w:rPr>
          <w:rFonts w:ascii="Arial" w:hAnsi="Arial" w:cs="Arial"/>
          <w:color w:val="FF0000"/>
          <w:sz w:val="24"/>
          <w:szCs w:val="24"/>
        </w:rPr>
        <w:t xml:space="preserve">-Werte wird die Ware auf Kosten des Lieferanten bei </w:t>
      </w:r>
      <w:r w:rsidR="008C4DAC">
        <w:rPr>
          <w:rFonts w:ascii="Arial" w:hAnsi="Arial" w:cs="Arial"/>
          <w:color w:val="FF0000"/>
          <w:sz w:val="24"/>
          <w:szCs w:val="24"/>
        </w:rPr>
        <w:t xml:space="preserve">AHG </w:t>
      </w:r>
      <w:r w:rsidRPr="00C52657">
        <w:rPr>
          <w:rFonts w:ascii="Arial" w:hAnsi="Arial" w:cs="Arial"/>
          <w:color w:val="FF0000"/>
          <w:sz w:val="24"/>
          <w:szCs w:val="24"/>
        </w:rPr>
        <w:t>eingelagert und gemeinsam nach einer Verwertungsmöglichkeit gesucht bzw. dem Lieferanten wieder zur Verfügung gestellt.</w:t>
      </w:r>
    </w:p>
    <w:p w14:paraId="0F293CDB" w14:textId="354BFBF9" w:rsidR="00C6538E" w:rsidRDefault="00D13861" w:rsidP="00D13861">
      <w:pPr>
        <w:pStyle w:val="KeinLeerraum"/>
        <w:ind w:left="2130" w:hanging="2130"/>
        <w:rPr>
          <w:rFonts w:ascii="Arial" w:hAnsi="Arial" w:cs="Arial"/>
          <w:color w:val="538135" w:themeColor="accent6" w:themeShade="BF"/>
          <w:sz w:val="24"/>
          <w:szCs w:val="24"/>
        </w:rPr>
      </w:pPr>
      <w:proofErr w:type="spell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Fusarien</w:t>
      </w:r>
      <w:proofErr w:type="spell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/Mykotoxine</w:t>
      </w:r>
      <w:r w:rsidR="00D25647">
        <w:rPr>
          <w:rFonts w:ascii="Arial" w:hAnsi="Arial" w:cs="Arial"/>
          <w:color w:val="538135" w:themeColor="accent6" w:themeShade="BF"/>
          <w:sz w:val="24"/>
          <w:szCs w:val="24"/>
        </w:rPr>
        <w:t xml:space="preserve"> – absolute Grenzwerte</w:t>
      </w:r>
      <w:r w:rsidR="006A3F25">
        <w:rPr>
          <w:rFonts w:ascii="Arial" w:hAnsi="Arial" w:cs="Arial"/>
          <w:color w:val="538135" w:themeColor="accent6" w:themeShade="BF"/>
          <w:sz w:val="24"/>
          <w:szCs w:val="24"/>
        </w:rPr>
        <w:t xml:space="preserve"> in mg/kg</w:t>
      </w:r>
      <w:r w:rsidR="00026C6C">
        <w:rPr>
          <w:rFonts w:ascii="Arial" w:hAnsi="Arial" w:cs="Arial"/>
          <w:color w:val="538135" w:themeColor="accent6" w:themeShade="BF"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7"/>
        <w:gridCol w:w="1514"/>
        <w:gridCol w:w="1515"/>
        <w:gridCol w:w="1515"/>
        <w:gridCol w:w="1515"/>
        <w:gridCol w:w="1515"/>
        <w:gridCol w:w="1515"/>
      </w:tblGrid>
      <w:tr w:rsidR="00C6538E" w:rsidRPr="00C6538E" w14:paraId="054711F0" w14:textId="77777777" w:rsidTr="00C6538E">
        <w:trPr>
          <w:trHeight w:val="300"/>
        </w:trPr>
        <w:tc>
          <w:tcPr>
            <w:tcW w:w="1300" w:type="dxa"/>
            <w:noWrap/>
            <w:hideMark/>
          </w:tcPr>
          <w:p w14:paraId="3C104FB0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8CDDA45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Weizen</w:t>
            </w:r>
          </w:p>
        </w:tc>
        <w:tc>
          <w:tcPr>
            <w:tcW w:w="980" w:type="dxa"/>
            <w:noWrap/>
            <w:hideMark/>
          </w:tcPr>
          <w:p w14:paraId="6C3B5FE8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Mais</w:t>
            </w:r>
          </w:p>
        </w:tc>
        <w:tc>
          <w:tcPr>
            <w:tcW w:w="980" w:type="dxa"/>
            <w:noWrap/>
            <w:hideMark/>
          </w:tcPr>
          <w:p w14:paraId="3CDB3520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Gerste</w:t>
            </w:r>
          </w:p>
        </w:tc>
        <w:tc>
          <w:tcPr>
            <w:tcW w:w="980" w:type="dxa"/>
            <w:noWrap/>
            <w:hideMark/>
          </w:tcPr>
          <w:p w14:paraId="4091F18E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Hafer</w:t>
            </w:r>
          </w:p>
        </w:tc>
        <w:tc>
          <w:tcPr>
            <w:tcW w:w="980" w:type="dxa"/>
            <w:noWrap/>
            <w:hideMark/>
          </w:tcPr>
          <w:p w14:paraId="39ECA1C3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Roggen</w:t>
            </w:r>
          </w:p>
        </w:tc>
        <w:tc>
          <w:tcPr>
            <w:tcW w:w="980" w:type="dxa"/>
            <w:noWrap/>
            <w:hideMark/>
          </w:tcPr>
          <w:p w14:paraId="46069320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Triticale</w:t>
            </w:r>
          </w:p>
        </w:tc>
      </w:tr>
      <w:tr w:rsidR="00C6538E" w:rsidRPr="00C6538E" w14:paraId="5BB67987" w14:textId="77777777" w:rsidTr="00C6538E">
        <w:trPr>
          <w:trHeight w:val="300"/>
        </w:trPr>
        <w:tc>
          <w:tcPr>
            <w:tcW w:w="1300" w:type="dxa"/>
            <w:noWrap/>
            <w:hideMark/>
          </w:tcPr>
          <w:p w14:paraId="1287D977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Don</w:t>
            </w:r>
          </w:p>
        </w:tc>
        <w:tc>
          <w:tcPr>
            <w:tcW w:w="980" w:type="dxa"/>
            <w:noWrap/>
            <w:hideMark/>
          </w:tcPr>
          <w:p w14:paraId="00AE6354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0,75</w:t>
            </w:r>
          </w:p>
        </w:tc>
        <w:tc>
          <w:tcPr>
            <w:tcW w:w="980" w:type="dxa"/>
            <w:noWrap/>
            <w:hideMark/>
          </w:tcPr>
          <w:p w14:paraId="3D2550BA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0,5</w:t>
            </w:r>
          </w:p>
        </w:tc>
        <w:tc>
          <w:tcPr>
            <w:tcW w:w="980" w:type="dxa"/>
            <w:noWrap/>
            <w:hideMark/>
          </w:tcPr>
          <w:p w14:paraId="5B96C6C9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0,75</w:t>
            </w:r>
          </w:p>
        </w:tc>
        <w:tc>
          <w:tcPr>
            <w:tcW w:w="980" w:type="dxa"/>
            <w:noWrap/>
            <w:hideMark/>
          </w:tcPr>
          <w:p w14:paraId="425502CF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0,5</w:t>
            </w:r>
          </w:p>
        </w:tc>
        <w:tc>
          <w:tcPr>
            <w:tcW w:w="980" w:type="dxa"/>
            <w:noWrap/>
            <w:hideMark/>
          </w:tcPr>
          <w:p w14:paraId="5259875B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0,75</w:t>
            </w:r>
          </w:p>
        </w:tc>
        <w:tc>
          <w:tcPr>
            <w:tcW w:w="980" w:type="dxa"/>
            <w:noWrap/>
            <w:hideMark/>
          </w:tcPr>
          <w:p w14:paraId="4FAA84D3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0,5</w:t>
            </w:r>
          </w:p>
        </w:tc>
      </w:tr>
      <w:tr w:rsidR="00C6538E" w:rsidRPr="00C6538E" w14:paraId="0323C6C6" w14:textId="77777777" w:rsidTr="00C6538E">
        <w:trPr>
          <w:trHeight w:val="300"/>
        </w:trPr>
        <w:tc>
          <w:tcPr>
            <w:tcW w:w="1300" w:type="dxa"/>
            <w:noWrap/>
            <w:hideMark/>
          </w:tcPr>
          <w:p w14:paraId="026118F2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proofErr w:type="spellStart"/>
            <w:r w:rsidRPr="00C6538E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Zearalenon</w:t>
            </w:r>
            <w:proofErr w:type="spellEnd"/>
          </w:p>
        </w:tc>
        <w:tc>
          <w:tcPr>
            <w:tcW w:w="980" w:type="dxa"/>
            <w:noWrap/>
            <w:hideMark/>
          </w:tcPr>
          <w:p w14:paraId="6206BAC7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  <w:tc>
          <w:tcPr>
            <w:tcW w:w="980" w:type="dxa"/>
            <w:noWrap/>
            <w:hideMark/>
          </w:tcPr>
          <w:p w14:paraId="37384D58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  <w:tc>
          <w:tcPr>
            <w:tcW w:w="980" w:type="dxa"/>
            <w:noWrap/>
            <w:hideMark/>
          </w:tcPr>
          <w:p w14:paraId="05FC0CC7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  <w:tc>
          <w:tcPr>
            <w:tcW w:w="980" w:type="dxa"/>
            <w:noWrap/>
            <w:hideMark/>
          </w:tcPr>
          <w:p w14:paraId="3182DFAC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  <w:tc>
          <w:tcPr>
            <w:tcW w:w="980" w:type="dxa"/>
            <w:noWrap/>
            <w:hideMark/>
          </w:tcPr>
          <w:p w14:paraId="04CB97DD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  <w:tc>
          <w:tcPr>
            <w:tcW w:w="980" w:type="dxa"/>
            <w:noWrap/>
            <w:hideMark/>
          </w:tcPr>
          <w:p w14:paraId="118DAC9D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</w:tr>
      <w:tr w:rsidR="00C6538E" w:rsidRPr="00C6538E" w14:paraId="536DFB29" w14:textId="77777777" w:rsidTr="00C6538E">
        <w:trPr>
          <w:trHeight w:val="300"/>
        </w:trPr>
        <w:tc>
          <w:tcPr>
            <w:tcW w:w="1300" w:type="dxa"/>
            <w:noWrap/>
            <w:hideMark/>
          </w:tcPr>
          <w:p w14:paraId="0E8D5534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proofErr w:type="spellStart"/>
            <w:r w:rsidRPr="00C6538E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Ochratoxin</w:t>
            </w:r>
            <w:proofErr w:type="spellEnd"/>
            <w:r w:rsidRPr="00C6538E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 xml:space="preserve"> A</w:t>
            </w:r>
          </w:p>
        </w:tc>
        <w:tc>
          <w:tcPr>
            <w:tcW w:w="980" w:type="dxa"/>
            <w:noWrap/>
            <w:hideMark/>
          </w:tcPr>
          <w:p w14:paraId="5F0A5301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  <w:tc>
          <w:tcPr>
            <w:tcW w:w="980" w:type="dxa"/>
            <w:noWrap/>
            <w:hideMark/>
          </w:tcPr>
          <w:p w14:paraId="2A1F372A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  <w:tc>
          <w:tcPr>
            <w:tcW w:w="980" w:type="dxa"/>
            <w:noWrap/>
            <w:hideMark/>
          </w:tcPr>
          <w:p w14:paraId="0A940C05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  <w:tc>
          <w:tcPr>
            <w:tcW w:w="980" w:type="dxa"/>
            <w:noWrap/>
            <w:hideMark/>
          </w:tcPr>
          <w:p w14:paraId="6C9DD369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  <w:tc>
          <w:tcPr>
            <w:tcW w:w="980" w:type="dxa"/>
            <w:noWrap/>
            <w:hideMark/>
          </w:tcPr>
          <w:p w14:paraId="7DC45ACD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  <w:tc>
          <w:tcPr>
            <w:tcW w:w="980" w:type="dxa"/>
            <w:noWrap/>
            <w:hideMark/>
          </w:tcPr>
          <w:p w14:paraId="70DC6DD2" w14:textId="77777777" w:rsidR="00C6538E" w:rsidRPr="00C6538E" w:rsidRDefault="00C6538E" w:rsidP="00C6538E">
            <w:pPr>
              <w:pStyle w:val="KeinLeerraum"/>
              <w:ind w:left="2130" w:hanging="2130"/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</w:pPr>
            <w:r w:rsidRPr="00C6538E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max. 0,05</w:t>
            </w:r>
          </w:p>
        </w:tc>
      </w:tr>
    </w:tbl>
    <w:p w14:paraId="3910681F" w14:textId="7C060CE2" w:rsidR="00026C6C" w:rsidRDefault="00026C6C" w:rsidP="00D13861">
      <w:pPr>
        <w:pStyle w:val="KeinLeerraum"/>
        <w:ind w:left="2130" w:hanging="2130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760FECD7" w14:textId="174B267E" w:rsidR="00D13861" w:rsidRDefault="00026C6C" w:rsidP="00D13861">
      <w:pPr>
        <w:pStyle w:val="KeinLeerraum"/>
        <w:ind w:left="2130" w:hanging="2130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color w:val="538135" w:themeColor="accent6" w:themeShade="BF"/>
          <w:sz w:val="24"/>
          <w:szCs w:val="24"/>
        </w:rPr>
        <w:br/>
      </w:r>
      <w:r w:rsidR="00D13861"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</w:p>
    <w:p w14:paraId="5BFDFE1F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  <w:proofErr w:type="spell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Fusarien</w:t>
      </w:r>
      <w:proofErr w:type="spell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 geschädigte Körner (für Ernährung und Fütterung unbrauchbar) zählen zum Schwarzbesatz. </w:t>
      </w:r>
    </w:p>
    <w:p w14:paraId="3A0ADB94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4D96A152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Liegt der sichtbare </w:t>
      </w:r>
      <w:proofErr w:type="spellStart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Fusarienbefall</w:t>
      </w:r>
      <w:proofErr w:type="spellEnd"/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 über 1 %, behält sich der Käufer eine Einstufung als Futtergetreide vor. </w:t>
      </w:r>
    </w:p>
    <w:p w14:paraId="26B7977D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6C3B61EF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Bei Überschreitung der oben genannten zulässigen Höchstgrenzen erfolgt eine Abnahme nur nach vorheriger Absprache. </w:t>
      </w:r>
    </w:p>
    <w:p w14:paraId="3D2911A0" w14:textId="77777777" w:rsidR="00D13861" w:rsidRDefault="00D13861" w:rsidP="00D13861">
      <w:pPr>
        <w:pStyle w:val="KeinLeerraum"/>
        <w:ind w:left="2130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6B95EE14" w14:textId="297C735F" w:rsidR="00D13861" w:rsidRDefault="00D13861" w:rsidP="00D13861">
      <w:pPr>
        <w:pStyle w:val="KeinLeerraum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DON-/ZEA-Abschläge im Getreide und Mais </w:t>
      </w:r>
      <w:r w:rsidR="00026C6C">
        <w:rPr>
          <w:rFonts w:ascii="Arial" w:hAnsi="Arial" w:cs="Arial"/>
          <w:color w:val="538135" w:themeColor="accent6" w:themeShade="BF"/>
          <w:sz w:val="24"/>
          <w:szCs w:val="24"/>
        </w:rPr>
        <w:br/>
      </w:r>
    </w:p>
    <w:p w14:paraId="71DB75FD" w14:textId="77777777" w:rsidR="00D13861" w:rsidRDefault="00D13861" w:rsidP="00D13861">
      <w:pPr>
        <w:pStyle w:val="KeinLeerraum"/>
        <w:ind w:left="1418" w:firstLine="709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DON ≥ 1.000 ppb → Einstufung als Futtergetreide </w:t>
      </w:r>
    </w:p>
    <w:p w14:paraId="0B4A6D84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Zudem werden folgende Abschläge in Ansatz gebracht: </w:t>
      </w:r>
    </w:p>
    <w:p w14:paraId="41580525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Stufe 1: ≥ 1.000 bis &lt; 1.750 ppb = ./. 10,00 €/t </w:t>
      </w:r>
    </w:p>
    <w:p w14:paraId="68CA2C03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Stufe 2: ≥ 1.750 bis &lt; 3.000 ppb = ./. 15,00 €/t </w:t>
      </w:r>
    </w:p>
    <w:p w14:paraId="2F076B8C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lastRenderedPageBreak/>
        <w:t xml:space="preserve">Stufe 3: ≥ 3.000 bis &lt; 5.000 ppb = ./. 20,00 €/t </w:t>
      </w:r>
    </w:p>
    <w:p w14:paraId="4AB5A862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36099F3A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Bei Werten ≥ 1.250 ppb behalten wir uns ein Stoßrecht vor. Besteht die Möglichkeit der Verwertung, wird ggf. ein Preisabschlag in Ansatz gebracht. </w:t>
      </w:r>
    </w:p>
    <w:p w14:paraId="1F6FFAE1" w14:textId="77777777" w:rsidR="00401358" w:rsidRDefault="00401358" w:rsidP="00D13861">
      <w:pPr>
        <w:pStyle w:val="KeinLeerraum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2A2E55EE" w14:textId="01CC8DFE" w:rsidR="00D13861" w:rsidRDefault="00D13861" w:rsidP="00D13861">
      <w:pPr>
        <w:pStyle w:val="KeinLeerraum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ZEA </w:t>
      </w:r>
      <w:r>
        <w:rPr>
          <w:rFonts w:ascii="Arial" w:hAnsi="Arial" w:cs="Arial"/>
          <w:color w:val="538135" w:themeColor="accent6" w:themeShade="BF"/>
          <w:sz w:val="24"/>
          <w:szCs w:val="24"/>
        </w:rPr>
        <w:tab/>
      </w:r>
      <w:r>
        <w:rPr>
          <w:rFonts w:ascii="Arial" w:hAnsi="Arial" w:cs="Arial"/>
          <w:color w:val="538135" w:themeColor="accent6" w:themeShade="BF"/>
          <w:sz w:val="24"/>
          <w:szCs w:val="24"/>
        </w:rPr>
        <w:tab/>
      </w:r>
      <w:r>
        <w:rPr>
          <w:rFonts w:ascii="Arial" w:hAnsi="Arial" w:cs="Arial"/>
          <w:color w:val="538135" w:themeColor="accent6" w:themeShade="BF"/>
          <w:sz w:val="24"/>
          <w:szCs w:val="24"/>
        </w:rPr>
        <w:tab/>
      </w: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Stufe 1: ≥ 100 – 150 ppb = ./. 10,00 €/t Stufe </w:t>
      </w:r>
    </w:p>
    <w:p w14:paraId="4EA3477A" w14:textId="77777777" w:rsidR="00D13861" w:rsidRDefault="00D13861" w:rsidP="00D13861">
      <w:pPr>
        <w:pStyle w:val="KeinLeerraum"/>
        <w:ind w:left="1418" w:firstLine="709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2: ≥ 150 – 250 ppb = ./. 15,00 €/t Stufe </w:t>
      </w:r>
    </w:p>
    <w:p w14:paraId="68FA001D" w14:textId="77777777" w:rsidR="00D13861" w:rsidRDefault="00D13861" w:rsidP="00D13861">
      <w:pPr>
        <w:pStyle w:val="KeinLeerraum"/>
        <w:ind w:left="1418" w:firstLine="709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3: ≥ 250 – 350 ppb = ./. 20,00 €/t </w:t>
      </w:r>
    </w:p>
    <w:p w14:paraId="59E34ED8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Bei Werten ≥ 100 ppb behalten wir uns ein Stoßrecht vor. Besteht die Möglichkeit der Verwertung, wird ggf. ein Preisabschlag in Ansatz gebracht. </w:t>
      </w:r>
    </w:p>
    <w:p w14:paraId="0054AD68" w14:textId="77777777" w:rsidR="00D13861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 xml:space="preserve">DON: 0,75 mg/kg = 0,75 ppm = 750 ppb </w:t>
      </w:r>
    </w:p>
    <w:p w14:paraId="4B8D28B3" w14:textId="77777777" w:rsidR="00D13861" w:rsidRPr="007A51B2" w:rsidRDefault="00D13861" w:rsidP="00D13861">
      <w:pPr>
        <w:pStyle w:val="KeinLeerraum"/>
        <w:ind w:left="2127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7A51B2">
        <w:rPr>
          <w:rFonts w:ascii="Arial" w:hAnsi="Arial" w:cs="Arial"/>
          <w:color w:val="538135" w:themeColor="accent6" w:themeShade="BF"/>
          <w:sz w:val="24"/>
          <w:szCs w:val="24"/>
        </w:rPr>
        <w:t>ZEA : 0,05 mg/kg = 0,05 ppm = 50 ppb</w:t>
      </w:r>
    </w:p>
    <w:p w14:paraId="015F4488" w14:textId="77777777" w:rsidR="007A24C8" w:rsidRPr="00C52657" w:rsidRDefault="007A24C8" w:rsidP="00316CC8">
      <w:pPr>
        <w:rPr>
          <w:rFonts w:ascii="Arial" w:hAnsi="Arial" w:cs="Arial"/>
          <w:color w:val="FF0000"/>
          <w:sz w:val="24"/>
          <w:szCs w:val="24"/>
        </w:rPr>
      </w:pPr>
    </w:p>
    <w:p w14:paraId="3ED4CDAE" w14:textId="77777777" w:rsidR="006D58AE" w:rsidRPr="00316CC8" w:rsidRDefault="006D58AE" w:rsidP="009F09D2">
      <w:pPr>
        <w:ind w:left="2124" w:hanging="2124"/>
        <w:rPr>
          <w:rFonts w:ascii="Arial" w:hAnsi="Arial" w:cs="Arial"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Bruchkorn</w:t>
      </w:r>
      <w:r w:rsidRPr="00316CC8">
        <w:rPr>
          <w:rFonts w:ascii="Arial" w:hAnsi="Arial" w:cs="Arial"/>
          <w:sz w:val="24"/>
          <w:szCs w:val="24"/>
        </w:rPr>
        <w:t xml:space="preserve">: </w:t>
      </w:r>
      <w:r w:rsidR="009F09D2">
        <w:rPr>
          <w:rFonts w:ascii="Arial" w:hAnsi="Arial" w:cs="Arial"/>
          <w:sz w:val="24"/>
          <w:szCs w:val="24"/>
        </w:rPr>
        <w:tab/>
      </w:r>
      <w:r w:rsidRPr="00316CC8">
        <w:rPr>
          <w:rFonts w:ascii="Arial" w:hAnsi="Arial" w:cs="Arial"/>
          <w:sz w:val="24"/>
          <w:szCs w:val="24"/>
        </w:rPr>
        <w:t>Alle Körner, bei denen Teile des Endosperms freiliegen.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Als maximal gelten 4,0%.</w:t>
      </w:r>
    </w:p>
    <w:p w14:paraId="04E34F80" w14:textId="77777777" w:rsidR="006D58AE" w:rsidRDefault="006D58AE" w:rsidP="009F09D2">
      <w:pPr>
        <w:ind w:left="2124" w:hanging="2124"/>
        <w:rPr>
          <w:rFonts w:ascii="Arial" w:hAnsi="Arial" w:cs="Arial"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Auswuchs:</w:t>
      </w:r>
      <w:r w:rsidRPr="00316CC8">
        <w:rPr>
          <w:rFonts w:ascii="Arial" w:hAnsi="Arial" w:cs="Arial"/>
          <w:sz w:val="24"/>
          <w:szCs w:val="24"/>
        </w:rPr>
        <w:t xml:space="preserve"> </w:t>
      </w:r>
      <w:r w:rsidR="009F09D2">
        <w:rPr>
          <w:rFonts w:ascii="Arial" w:hAnsi="Arial" w:cs="Arial"/>
          <w:sz w:val="24"/>
          <w:szCs w:val="24"/>
        </w:rPr>
        <w:tab/>
      </w:r>
      <w:r w:rsidRPr="00316CC8">
        <w:rPr>
          <w:rFonts w:ascii="Arial" w:hAnsi="Arial" w:cs="Arial"/>
          <w:sz w:val="24"/>
          <w:szCs w:val="24"/>
        </w:rPr>
        <w:t>Wurzel- und Blattkeime deutlich zu erkennen.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Als maximal gelten 2,0%. Bei einem höheren Anteil wird im Einzelfall entschieden.</w:t>
      </w:r>
    </w:p>
    <w:p w14:paraId="1F6DA4CA" w14:textId="77777777" w:rsidR="006D0BDF" w:rsidRDefault="006D0BDF" w:rsidP="009F09D2">
      <w:pPr>
        <w:ind w:left="2124" w:hanging="2124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D0BDF">
        <w:rPr>
          <w:rFonts w:ascii="Arial" w:hAnsi="Arial" w:cs="Arial"/>
          <w:color w:val="538135" w:themeColor="accent6" w:themeShade="BF"/>
          <w:sz w:val="24"/>
          <w:szCs w:val="24"/>
        </w:rPr>
        <w:t xml:space="preserve">Preisabschläge für erhöhten Auswuchs </w:t>
      </w:r>
    </w:p>
    <w:p w14:paraId="4C579134" w14:textId="23FA907E" w:rsidR="006D0BDF" w:rsidRDefault="006D0BDF" w:rsidP="006D0BDF">
      <w:pPr>
        <w:ind w:left="2124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6D0BDF">
        <w:rPr>
          <w:rFonts w:ascii="Arial" w:hAnsi="Arial" w:cs="Arial"/>
          <w:color w:val="538135" w:themeColor="accent6" w:themeShade="BF"/>
          <w:sz w:val="24"/>
          <w:szCs w:val="24"/>
        </w:rPr>
        <w:t>bei 2,</w:t>
      </w:r>
      <w:r w:rsidR="006A3F25">
        <w:rPr>
          <w:rFonts w:ascii="Arial" w:hAnsi="Arial" w:cs="Arial"/>
          <w:color w:val="538135" w:themeColor="accent6" w:themeShade="BF"/>
          <w:sz w:val="24"/>
          <w:szCs w:val="24"/>
        </w:rPr>
        <w:t>1</w:t>
      </w:r>
      <w:r w:rsidRPr="006D0BDF">
        <w:rPr>
          <w:rFonts w:ascii="Arial" w:hAnsi="Arial" w:cs="Arial"/>
          <w:color w:val="538135" w:themeColor="accent6" w:themeShade="BF"/>
          <w:sz w:val="24"/>
          <w:szCs w:val="24"/>
        </w:rPr>
        <w:t xml:space="preserve"> % bis 3,0 % = 1,00 €/t Abzug </w:t>
      </w:r>
    </w:p>
    <w:p w14:paraId="566A5E17" w14:textId="77777777" w:rsidR="006D0BDF" w:rsidRDefault="006D0BDF" w:rsidP="006D0BDF">
      <w:pPr>
        <w:ind w:left="2124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6D0BDF">
        <w:rPr>
          <w:rFonts w:ascii="Arial" w:hAnsi="Arial" w:cs="Arial"/>
          <w:color w:val="538135" w:themeColor="accent6" w:themeShade="BF"/>
          <w:sz w:val="24"/>
          <w:szCs w:val="24"/>
        </w:rPr>
        <w:t xml:space="preserve">bei 3,1 % bis 4,0 % = 2,00 €/t Abzug </w:t>
      </w:r>
    </w:p>
    <w:p w14:paraId="49A88F44" w14:textId="77777777" w:rsidR="006D0BDF" w:rsidRDefault="006D0BDF" w:rsidP="006D0BDF">
      <w:pPr>
        <w:ind w:left="2124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6D0BDF">
        <w:rPr>
          <w:rFonts w:ascii="Arial" w:hAnsi="Arial" w:cs="Arial"/>
          <w:color w:val="538135" w:themeColor="accent6" w:themeShade="BF"/>
          <w:sz w:val="24"/>
          <w:szCs w:val="24"/>
        </w:rPr>
        <w:t xml:space="preserve">bei 4,1 % bis 5,0 % = 3,00 €/t Abzug </w:t>
      </w:r>
    </w:p>
    <w:p w14:paraId="628D07A8" w14:textId="77777777" w:rsidR="006D0BDF" w:rsidRPr="006D0BDF" w:rsidRDefault="006D0BDF" w:rsidP="006D0BDF">
      <w:pPr>
        <w:ind w:left="2124"/>
        <w:rPr>
          <w:rFonts w:ascii="Arial" w:hAnsi="Arial" w:cs="Arial"/>
          <w:sz w:val="24"/>
          <w:szCs w:val="24"/>
        </w:rPr>
      </w:pPr>
      <w:r w:rsidRPr="006D0BDF">
        <w:rPr>
          <w:rFonts w:ascii="Arial" w:hAnsi="Arial" w:cs="Arial"/>
          <w:color w:val="538135" w:themeColor="accent6" w:themeShade="BF"/>
          <w:sz w:val="24"/>
          <w:szCs w:val="24"/>
        </w:rPr>
        <w:t>beträgt der Auswuchs &gt; 5% - Annahme nur nach Absprache</w:t>
      </w:r>
    </w:p>
    <w:p w14:paraId="576B9DB5" w14:textId="77777777" w:rsidR="006D58AE" w:rsidRPr="00316CC8" w:rsidRDefault="006D58AE" w:rsidP="009F09D2">
      <w:pPr>
        <w:ind w:left="2124" w:hanging="2124"/>
        <w:rPr>
          <w:rFonts w:ascii="Arial" w:hAnsi="Arial" w:cs="Arial"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Schmachtkorn:</w:t>
      </w:r>
      <w:r w:rsidRPr="00316CC8">
        <w:rPr>
          <w:rFonts w:ascii="Arial" w:hAnsi="Arial" w:cs="Arial"/>
          <w:sz w:val="24"/>
          <w:szCs w:val="24"/>
        </w:rPr>
        <w:t xml:space="preserve"> </w:t>
      </w:r>
      <w:r w:rsidR="009F09D2">
        <w:rPr>
          <w:rFonts w:ascii="Arial" w:hAnsi="Arial" w:cs="Arial"/>
          <w:sz w:val="24"/>
          <w:szCs w:val="24"/>
        </w:rPr>
        <w:tab/>
      </w:r>
      <w:r w:rsidRPr="00316CC8">
        <w:rPr>
          <w:rFonts w:ascii="Arial" w:hAnsi="Arial" w:cs="Arial"/>
          <w:sz w:val="24"/>
          <w:szCs w:val="24"/>
        </w:rPr>
        <w:t>Alle zum Grundgetreide gehörenden Körner, die durch ein 1,8 mm (Roggen, Triticale,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Hafer) bzw. 2,0 mm (Weizen, Gerste) Schlitzsieb fallen.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Als maximal gelten 5,0%.</w:t>
      </w:r>
    </w:p>
    <w:p w14:paraId="568E1540" w14:textId="77777777" w:rsidR="006D58AE" w:rsidRPr="00316CC8" w:rsidRDefault="006D58AE" w:rsidP="009F09D2">
      <w:pPr>
        <w:ind w:left="2124" w:hanging="2124"/>
        <w:rPr>
          <w:rFonts w:ascii="Arial" w:hAnsi="Arial" w:cs="Arial"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Fremdgetreide:</w:t>
      </w:r>
      <w:r w:rsidRPr="00316CC8">
        <w:rPr>
          <w:rFonts w:ascii="Arial" w:hAnsi="Arial" w:cs="Arial"/>
          <w:sz w:val="24"/>
          <w:szCs w:val="24"/>
        </w:rPr>
        <w:t xml:space="preserve"> </w:t>
      </w:r>
      <w:r w:rsidR="009F09D2">
        <w:rPr>
          <w:rFonts w:ascii="Arial" w:hAnsi="Arial" w:cs="Arial"/>
          <w:sz w:val="24"/>
          <w:szCs w:val="24"/>
        </w:rPr>
        <w:tab/>
      </w:r>
      <w:r w:rsidRPr="00316CC8">
        <w:rPr>
          <w:rFonts w:ascii="Arial" w:hAnsi="Arial" w:cs="Arial"/>
          <w:sz w:val="24"/>
          <w:szCs w:val="24"/>
        </w:rPr>
        <w:t>Alle nicht zum Grundgetreide gehörenden Getreidekörner.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Als maximal gelten 2,0%.</w:t>
      </w:r>
    </w:p>
    <w:p w14:paraId="23D212B1" w14:textId="77777777" w:rsidR="00F56F23" w:rsidRPr="00F56F23" w:rsidRDefault="006D58AE" w:rsidP="00316CC8">
      <w:pPr>
        <w:rPr>
          <w:rFonts w:ascii="Arial" w:hAnsi="Arial" w:cs="Arial"/>
          <w:b/>
          <w:sz w:val="24"/>
          <w:szCs w:val="24"/>
        </w:rPr>
      </w:pPr>
      <w:r w:rsidRPr="00F56F23">
        <w:rPr>
          <w:rFonts w:ascii="Arial" w:hAnsi="Arial" w:cs="Arial"/>
          <w:b/>
          <w:sz w:val="24"/>
          <w:szCs w:val="24"/>
        </w:rPr>
        <w:t>2. Definition der Bestandteile, die nach Untersuchung der äußeren Beschaffenheit nicht einwandfreie Hülsenfrüchte sind.</w:t>
      </w:r>
      <w:r w:rsidR="00254B09" w:rsidRPr="00F56F23">
        <w:rPr>
          <w:rFonts w:ascii="Arial" w:hAnsi="Arial" w:cs="Arial"/>
          <w:b/>
          <w:sz w:val="24"/>
          <w:szCs w:val="24"/>
        </w:rPr>
        <w:t xml:space="preserve"> </w:t>
      </w:r>
    </w:p>
    <w:p w14:paraId="4D23CCFE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Bei Anlieferung nicht gereinigter Ware erfolgt auf Kosten des Lieferanten eine Aufbereitung. Die Aspiration wird mittels Laborreiniger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(Aspirateur) oder durch Siebung ermittelt. Es erfolgt eine weitere Handauslesung der verschiedenen Fraktionen. Aufgrund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von Abriebs-, Riesel- und/oder Verladeverlusten erfolgt ein Aspirationsabzug von mind. 0,5%.</w:t>
      </w:r>
    </w:p>
    <w:p w14:paraId="717C0B0E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Zur Aspiration zählen:</w:t>
      </w:r>
    </w:p>
    <w:p w14:paraId="3EC10FAC" w14:textId="7411CE93" w:rsidR="003867B4" w:rsidRPr="00401358" w:rsidRDefault="006D58AE" w:rsidP="0040135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358">
        <w:rPr>
          <w:rFonts w:ascii="Arial" w:hAnsi="Arial" w:cs="Arial"/>
          <w:sz w:val="24"/>
          <w:szCs w:val="24"/>
        </w:rPr>
        <w:t xml:space="preserve">alle in der angelieferten Ware enthaltenen </w:t>
      </w:r>
      <w:r w:rsidRPr="00401358">
        <w:rPr>
          <w:rFonts w:ascii="Arial" w:hAnsi="Arial" w:cs="Arial"/>
          <w:b/>
          <w:sz w:val="24"/>
          <w:szCs w:val="24"/>
        </w:rPr>
        <w:t>artfremden Bestandteile</w:t>
      </w:r>
      <w:r w:rsidR="003867B4" w:rsidRPr="00401358">
        <w:rPr>
          <w:rFonts w:ascii="Arial" w:hAnsi="Arial" w:cs="Arial"/>
          <w:sz w:val="24"/>
          <w:szCs w:val="24"/>
        </w:rPr>
        <w:t xml:space="preserve"> </w:t>
      </w:r>
    </w:p>
    <w:p w14:paraId="0F830F6E" w14:textId="57FD9E24" w:rsidR="006D58AE" w:rsidRPr="00401358" w:rsidRDefault="006D58AE" w:rsidP="0040135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358">
        <w:rPr>
          <w:rFonts w:ascii="Arial" w:hAnsi="Arial" w:cs="Arial"/>
          <w:b/>
          <w:sz w:val="24"/>
          <w:szCs w:val="24"/>
        </w:rPr>
        <w:t>ausgewachsene Körner, als maximal gelten 2%.</w:t>
      </w:r>
      <w:r w:rsidRPr="00401358">
        <w:rPr>
          <w:rFonts w:ascii="Arial" w:hAnsi="Arial" w:cs="Arial"/>
          <w:sz w:val="24"/>
          <w:szCs w:val="24"/>
        </w:rPr>
        <w:t xml:space="preserve"> Bei einem höheren Anteil wird im Einzelfall entschieden</w:t>
      </w:r>
    </w:p>
    <w:p w14:paraId="31F3AF8D" w14:textId="6F85B883" w:rsidR="006D58AE" w:rsidRPr="00401358" w:rsidRDefault="006D58AE" w:rsidP="0040135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358">
        <w:rPr>
          <w:rFonts w:ascii="Arial" w:hAnsi="Arial" w:cs="Arial"/>
          <w:b/>
          <w:sz w:val="24"/>
          <w:szCs w:val="24"/>
        </w:rPr>
        <w:t>verdorbene Körner</w:t>
      </w:r>
      <w:r w:rsidRPr="00401358">
        <w:rPr>
          <w:rFonts w:ascii="Arial" w:hAnsi="Arial" w:cs="Arial"/>
          <w:sz w:val="24"/>
          <w:szCs w:val="24"/>
        </w:rPr>
        <w:t>, die durch Fäulnis, Schimmel oder Bakterienbefall oder auch sonstige Einwirkungen für</w:t>
      </w:r>
      <w:r w:rsidR="00254B09" w:rsidRPr="00401358">
        <w:rPr>
          <w:rFonts w:ascii="Arial" w:hAnsi="Arial" w:cs="Arial"/>
          <w:sz w:val="24"/>
          <w:szCs w:val="24"/>
        </w:rPr>
        <w:t xml:space="preserve"> </w:t>
      </w:r>
      <w:r w:rsidRPr="00401358">
        <w:rPr>
          <w:rFonts w:ascii="Arial" w:hAnsi="Arial" w:cs="Arial"/>
          <w:sz w:val="24"/>
          <w:szCs w:val="24"/>
        </w:rPr>
        <w:t>die menschliche Ernährung und für die Verfütterung unbrauchbar geworden sind (auch durch Selbsterhitzung oder</w:t>
      </w:r>
      <w:r w:rsidR="00254B09" w:rsidRPr="00401358">
        <w:rPr>
          <w:rFonts w:ascii="Arial" w:hAnsi="Arial" w:cs="Arial"/>
          <w:sz w:val="24"/>
          <w:szCs w:val="24"/>
        </w:rPr>
        <w:t xml:space="preserve"> </w:t>
      </w:r>
      <w:r w:rsidRPr="00401358">
        <w:rPr>
          <w:rFonts w:ascii="Arial" w:hAnsi="Arial" w:cs="Arial"/>
          <w:sz w:val="24"/>
          <w:szCs w:val="24"/>
        </w:rPr>
        <w:t>zu starke Trocknung geschädigte Körner)</w:t>
      </w:r>
    </w:p>
    <w:p w14:paraId="6CA27DBA" w14:textId="75249C3D" w:rsidR="006D58AE" w:rsidRPr="00401358" w:rsidRDefault="006D58AE" w:rsidP="00401358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01358">
        <w:rPr>
          <w:rFonts w:ascii="Arial" w:hAnsi="Arial" w:cs="Arial"/>
          <w:b/>
          <w:sz w:val="24"/>
          <w:szCs w:val="24"/>
        </w:rPr>
        <w:t>nicht ausgereifte und grüne Körner</w:t>
      </w:r>
    </w:p>
    <w:p w14:paraId="30BE29AE" w14:textId="67A1EDC8" w:rsidR="006D58AE" w:rsidRPr="00401358" w:rsidRDefault="006D58AE" w:rsidP="0040135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358">
        <w:rPr>
          <w:rFonts w:ascii="Arial" w:hAnsi="Arial" w:cs="Arial"/>
          <w:b/>
          <w:sz w:val="24"/>
          <w:szCs w:val="24"/>
        </w:rPr>
        <w:t>Siebdurchgang</w:t>
      </w:r>
      <w:r w:rsidRPr="00401358">
        <w:rPr>
          <w:rFonts w:ascii="Arial" w:hAnsi="Arial" w:cs="Arial"/>
          <w:sz w:val="24"/>
          <w:szCs w:val="24"/>
        </w:rPr>
        <w:t xml:space="preserve"> durch 3,0 mm</w:t>
      </w:r>
    </w:p>
    <w:p w14:paraId="0A51BB46" w14:textId="77777777" w:rsidR="00CC55BE" w:rsidRPr="00316CC8" w:rsidRDefault="00CC55BE" w:rsidP="009F09D2">
      <w:pPr>
        <w:ind w:firstLine="708"/>
        <w:rPr>
          <w:rFonts w:ascii="Arial" w:hAnsi="Arial" w:cs="Arial"/>
          <w:sz w:val="24"/>
          <w:szCs w:val="24"/>
        </w:rPr>
      </w:pPr>
    </w:p>
    <w:p w14:paraId="7C8A35B5" w14:textId="77777777" w:rsidR="00DE5EF1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lastRenderedPageBreak/>
        <w:t xml:space="preserve">3. </w:t>
      </w:r>
      <w:r w:rsidRPr="00DE5EF1">
        <w:rPr>
          <w:rFonts w:ascii="Arial" w:hAnsi="Arial" w:cs="Arial"/>
          <w:b/>
          <w:sz w:val="24"/>
          <w:szCs w:val="24"/>
        </w:rPr>
        <w:t>Definition der Bestandteile, die nach Untersuchung der äußeren Beschaffenheit nicht einwandfreie Ölsaaten sind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5D3B5351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Bei Anlieferung nicht reiner Ware erfolgt auf Kosten des Lieferanten eine Aufbereitung. Der Besatz wird mittels Laborreiniger oder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durch Siebung ermittelt. Es erfolgt eine weitere Handauslesung der verschiedenen Fraktionen.</w:t>
      </w:r>
    </w:p>
    <w:p w14:paraId="47F8404A" w14:textId="77777777" w:rsidR="006D58AE" w:rsidRPr="009F09D2" w:rsidRDefault="006D58AE" w:rsidP="00316CC8">
      <w:pPr>
        <w:rPr>
          <w:rFonts w:ascii="Arial" w:hAnsi="Arial" w:cs="Arial"/>
          <w:b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Zum Besatz zählen:</w:t>
      </w:r>
    </w:p>
    <w:p w14:paraId="19C72602" w14:textId="314D2928" w:rsidR="006D58AE" w:rsidRPr="00401358" w:rsidRDefault="006D58AE" w:rsidP="00401358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01358">
        <w:rPr>
          <w:rFonts w:ascii="Arial" w:hAnsi="Arial" w:cs="Arial"/>
          <w:sz w:val="24"/>
          <w:szCs w:val="24"/>
        </w:rPr>
        <w:t xml:space="preserve">alle in der angelieferten Ware enthaltenen </w:t>
      </w:r>
      <w:r w:rsidRPr="00401358">
        <w:rPr>
          <w:rFonts w:ascii="Arial" w:hAnsi="Arial" w:cs="Arial"/>
          <w:b/>
          <w:sz w:val="24"/>
          <w:szCs w:val="24"/>
        </w:rPr>
        <w:t>artfremden Bestandteile</w:t>
      </w:r>
    </w:p>
    <w:p w14:paraId="0809ED60" w14:textId="435FA4E5" w:rsidR="006D58AE" w:rsidRPr="00401358" w:rsidRDefault="006D58AE" w:rsidP="0040135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358">
        <w:rPr>
          <w:rFonts w:ascii="Arial" w:hAnsi="Arial" w:cs="Arial"/>
          <w:b/>
          <w:sz w:val="24"/>
          <w:szCs w:val="24"/>
        </w:rPr>
        <w:t>Verunreinigungen</w:t>
      </w:r>
      <w:r w:rsidRPr="00401358">
        <w:rPr>
          <w:rFonts w:ascii="Arial" w:hAnsi="Arial" w:cs="Arial"/>
          <w:sz w:val="24"/>
          <w:szCs w:val="24"/>
        </w:rPr>
        <w:t>, sämtliche Bestandteile, die durch ein 1,25 mm Sieb (</w:t>
      </w:r>
      <w:proofErr w:type="spellStart"/>
      <w:r w:rsidRPr="00401358">
        <w:rPr>
          <w:rFonts w:ascii="Arial" w:hAnsi="Arial" w:cs="Arial"/>
          <w:sz w:val="24"/>
          <w:szCs w:val="24"/>
        </w:rPr>
        <w:t>Rundloch</w:t>
      </w:r>
      <w:proofErr w:type="spellEnd"/>
      <w:r w:rsidRPr="00401358">
        <w:rPr>
          <w:rFonts w:ascii="Arial" w:hAnsi="Arial" w:cs="Arial"/>
          <w:sz w:val="24"/>
          <w:szCs w:val="24"/>
        </w:rPr>
        <w:t>) fallen</w:t>
      </w:r>
    </w:p>
    <w:p w14:paraId="7FE43CC2" w14:textId="030BA8AB" w:rsidR="006D58AE" w:rsidRPr="00401358" w:rsidRDefault="006D58AE" w:rsidP="0040135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358">
        <w:rPr>
          <w:rFonts w:ascii="Arial" w:hAnsi="Arial" w:cs="Arial"/>
          <w:b/>
          <w:sz w:val="24"/>
          <w:szCs w:val="24"/>
        </w:rPr>
        <w:t>ausgewachsene Körner, als maximal gelten 2%.</w:t>
      </w:r>
      <w:r w:rsidRPr="00401358">
        <w:rPr>
          <w:rFonts w:ascii="Arial" w:hAnsi="Arial" w:cs="Arial"/>
          <w:sz w:val="24"/>
          <w:szCs w:val="24"/>
        </w:rPr>
        <w:t xml:space="preserve"> Bei einem höheren Anteil wird im Einzelfall entschieden.</w:t>
      </w:r>
    </w:p>
    <w:p w14:paraId="71FBEA37" w14:textId="3F1DF790" w:rsidR="006D58AE" w:rsidRPr="00401358" w:rsidRDefault="006D58AE" w:rsidP="0040135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358">
        <w:rPr>
          <w:rFonts w:ascii="Arial" w:hAnsi="Arial" w:cs="Arial"/>
          <w:b/>
          <w:sz w:val="24"/>
          <w:szCs w:val="24"/>
        </w:rPr>
        <w:t>verdorbene Körner</w:t>
      </w:r>
      <w:r w:rsidRPr="00401358">
        <w:rPr>
          <w:rFonts w:ascii="Arial" w:hAnsi="Arial" w:cs="Arial"/>
          <w:sz w:val="24"/>
          <w:szCs w:val="24"/>
        </w:rPr>
        <w:t>, die durch Fäulnis, Schimmel oder Bakterienbefall oder auch sonstige Einwirkungen für</w:t>
      </w:r>
      <w:r w:rsidR="00254B09" w:rsidRPr="00401358">
        <w:rPr>
          <w:rFonts w:ascii="Arial" w:hAnsi="Arial" w:cs="Arial"/>
          <w:sz w:val="24"/>
          <w:szCs w:val="24"/>
        </w:rPr>
        <w:t xml:space="preserve"> </w:t>
      </w:r>
      <w:r w:rsidRPr="00401358">
        <w:rPr>
          <w:rFonts w:ascii="Arial" w:hAnsi="Arial" w:cs="Arial"/>
          <w:sz w:val="24"/>
          <w:szCs w:val="24"/>
        </w:rPr>
        <w:t>die menschliche Ernährung und für die Verfütterung unbrauchbar geworden sind (auch durch Selbsterhitzung oder</w:t>
      </w:r>
      <w:r w:rsidR="00254B09" w:rsidRPr="00401358">
        <w:rPr>
          <w:rFonts w:ascii="Arial" w:hAnsi="Arial" w:cs="Arial"/>
          <w:sz w:val="24"/>
          <w:szCs w:val="24"/>
        </w:rPr>
        <w:t xml:space="preserve"> </w:t>
      </w:r>
      <w:r w:rsidRPr="00401358">
        <w:rPr>
          <w:rFonts w:ascii="Arial" w:hAnsi="Arial" w:cs="Arial"/>
          <w:sz w:val="24"/>
          <w:szCs w:val="24"/>
        </w:rPr>
        <w:t>zu starke Trocknung geschädigte Körner)</w:t>
      </w:r>
    </w:p>
    <w:p w14:paraId="6855370A" w14:textId="2DA24185" w:rsidR="006D58AE" w:rsidRPr="00401358" w:rsidRDefault="006D58AE" w:rsidP="00401358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01358">
        <w:rPr>
          <w:rFonts w:ascii="Arial" w:hAnsi="Arial" w:cs="Arial"/>
          <w:b/>
          <w:sz w:val="24"/>
          <w:szCs w:val="24"/>
        </w:rPr>
        <w:t>nicht ausgereifte und grüne Körner</w:t>
      </w:r>
    </w:p>
    <w:p w14:paraId="282D6C9A" w14:textId="04DD0D59" w:rsidR="006D58AE" w:rsidRPr="00401358" w:rsidRDefault="006D58AE" w:rsidP="0040135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1358">
        <w:rPr>
          <w:rFonts w:ascii="Arial" w:hAnsi="Arial" w:cs="Arial"/>
          <w:b/>
          <w:sz w:val="24"/>
          <w:szCs w:val="24"/>
        </w:rPr>
        <w:t>geschädigte Körner</w:t>
      </w:r>
    </w:p>
    <w:p w14:paraId="71AC0DFC" w14:textId="77777777" w:rsidR="009F09D2" w:rsidRPr="00316CC8" w:rsidRDefault="009F09D2" w:rsidP="009F09D2">
      <w:pPr>
        <w:ind w:firstLine="708"/>
        <w:rPr>
          <w:rFonts w:ascii="Arial" w:hAnsi="Arial" w:cs="Arial"/>
          <w:sz w:val="24"/>
          <w:szCs w:val="24"/>
        </w:rPr>
      </w:pPr>
    </w:p>
    <w:p w14:paraId="70A165AB" w14:textId="77777777" w:rsidR="006D58AE" w:rsidRPr="009F09D2" w:rsidRDefault="006D58AE" w:rsidP="00316CC8">
      <w:pPr>
        <w:rPr>
          <w:rFonts w:ascii="Arial" w:hAnsi="Arial" w:cs="Arial"/>
          <w:b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4. Qualitätsbedingungen</w:t>
      </w:r>
    </w:p>
    <w:p w14:paraId="7AC64B53" w14:textId="1B5422DD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Die Qualitätsbedingungen ergeben sich aus den Abrechnungsmodalitäten für Getreide inkl. Mais, Hülsenfrüchte und Ölsaaten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der </w:t>
      </w:r>
      <w:r w:rsidR="00AB3C1A">
        <w:rPr>
          <w:rFonts w:ascii="Arial" w:hAnsi="Arial" w:cs="Arial"/>
          <w:sz w:val="24"/>
          <w:szCs w:val="24"/>
        </w:rPr>
        <w:t>AHG Agrarhandel GmbH, Erfurt</w:t>
      </w:r>
      <w:r w:rsidRPr="00316CC8">
        <w:rPr>
          <w:rFonts w:ascii="Arial" w:hAnsi="Arial" w:cs="Arial"/>
          <w:sz w:val="24"/>
          <w:szCs w:val="24"/>
        </w:rPr>
        <w:t>, soweit nicht im Einkaufskontraktformular abweichend beschrieben. Dort sind die Basisqualitäten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für Getreide inkl. Mais, Ölsaaten und Hülsenfrüchte aufgeführt. Ebenso enthalten sind die Abschlagstabellen für eine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Aufbereitung von nicht kontraktlicher Ware.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2444B93F" w14:textId="77777777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Die Grundeinstufung (vor der Qualitätsanalyse) als E-, A- oder B- Weizen wird für die angelieferten Weizensorten gemäß den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Angaben des Verkäufers nach der vom Bundessortenamt erstellten „Beschreibenden Sortenliste“ -in der aktuellen Fassung- vorgenommen.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Zusätzlich kann eine Sortenbestimmung mittels Elektrophorese durchgeführt werden.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7B8376BB" w14:textId="77777777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Raps darf max. 2,0 % FFA im Öl und max. 18 </w:t>
      </w:r>
      <w:proofErr w:type="spellStart"/>
      <w:r w:rsidRPr="00316CC8">
        <w:rPr>
          <w:rFonts w:ascii="Arial" w:hAnsi="Arial" w:cs="Arial"/>
          <w:sz w:val="24"/>
          <w:szCs w:val="24"/>
        </w:rPr>
        <w:t>μmol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6CC8">
        <w:rPr>
          <w:rFonts w:ascii="Arial" w:hAnsi="Arial" w:cs="Arial"/>
          <w:sz w:val="24"/>
          <w:szCs w:val="24"/>
        </w:rPr>
        <w:t>Glukosinolat</w:t>
      </w:r>
      <w:proofErr w:type="spellEnd"/>
      <w:r w:rsidRPr="00316CC8">
        <w:rPr>
          <w:rFonts w:ascii="Arial" w:hAnsi="Arial" w:cs="Arial"/>
          <w:sz w:val="24"/>
          <w:szCs w:val="24"/>
        </w:rPr>
        <w:t xml:space="preserve"> enthalten.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Erbsen müssen eine gelbe Farbe in Schale und Korn aufweisen.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7D6EE3C2" w14:textId="6B4AA421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Die auf den Wiegescheinen/Eingangsbelegen angegebenen Qualitäten (Qualitäts-Einstufungen) sind vorläufig, und dienen der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="00AB3C1A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zur Vorbereitung der Lagerhaltung nach guter fachlicher Praxis.</w:t>
      </w:r>
      <w:r w:rsidR="00254B09">
        <w:rPr>
          <w:rFonts w:ascii="Arial" w:hAnsi="Arial" w:cs="Arial"/>
          <w:sz w:val="24"/>
          <w:szCs w:val="24"/>
        </w:rPr>
        <w:t xml:space="preserve"> </w:t>
      </w:r>
    </w:p>
    <w:p w14:paraId="2224852F" w14:textId="232E45C5" w:rsidR="006D58AE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Grundlage für die endgültige Qualitätseinstufung zur Abrechnung ist die i</w:t>
      </w:r>
      <w:r w:rsidR="00AB3C1A">
        <w:rPr>
          <w:rFonts w:ascii="Arial" w:hAnsi="Arial" w:cs="Arial"/>
          <w:sz w:val="24"/>
          <w:szCs w:val="24"/>
        </w:rPr>
        <w:t>m Labor</w:t>
      </w:r>
      <w:r w:rsidRPr="00316CC8">
        <w:rPr>
          <w:rFonts w:ascii="Arial" w:hAnsi="Arial" w:cs="Arial"/>
          <w:sz w:val="24"/>
          <w:szCs w:val="24"/>
        </w:rPr>
        <w:t xml:space="preserve"> des Käufers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durchgeführte Vollanalyse für alle produktrelevanten Qualitätskriterien.</w:t>
      </w:r>
    </w:p>
    <w:p w14:paraId="6E1631B7" w14:textId="77777777" w:rsidR="009F09D2" w:rsidRPr="00316CC8" w:rsidRDefault="009F09D2" w:rsidP="00316CC8">
      <w:pPr>
        <w:rPr>
          <w:rFonts w:ascii="Arial" w:hAnsi="Arial" w:cs="Arial"/>
          <w:sz w:val="24"/>
          <w:szCs w:val="24"/>
        </w:rPr>
      </w:pPr>
    </w:p>
    <w:p w14:paraId="647E2AEC" w14:textId="77777777" w:rsidR="009F09D2" w:rsidRPr="009F09D2" w:rsidRDefault="006D58AE" w:rsidP="00316CC8">
      <w:pPr>
        <w:rPr>
          <w:rFonts w:ascii="Arial" w:hAnsi="Arial" w:cs="Arial"/>
          <w:b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5. Gewichtsfeststellung / Probenahme / Qualitätsermittlung</w:t>
      </w:r>
      <w:r w:rsidR="00254B09" w:rsidRPr="009F09D2">
        <w:rPr>
          <w:rFonts w:ascii="Arial" w:hAnsi="Arial" w:cs="Arial"/>
          <w:b/>
          <w:sz w:val="24"/>
          <w:szCs w:val="24"/>
        </w:rPr>
        <w:t xml:space="preserve"> </w:t>
      </w:r>
    </w:p>
    <w:p w14:paraId="574179DF" w14:textId="7355A180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Die Gewichtsfeststellung, Probenahme und Qualitätsermittlung erfolgt am Entladeort (ausgeladenes Gewicht und Qualität). Die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Gewichtsfeststellung erfolgt maßgeblich mit geeichten Waagen des jeweiligen Empfängers. Ausschlaggebend für die Kontrakterfüllung</w:t>
      </w:r>
      <w:r w:rsidR="00254B09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ist die gelieferte Bruttomenge, ohne jegliche Toleranz. Probenahme, Verwiegung und Analyse sowie Kosten für Qualitätssicherung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und Energiemanagement werden bei der Abrechnung der Lieferung in Abzug gebracht (liegt keine Getreideanlieferung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 Grunde, werden diese Kosten separat in Rechnung gestellt). Der Verkäufer hat das Recht, der Probenahme von Ernteerzeugnissen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selbst oder durch </w:t>
      </w:r>
      <w:r w:rsidRPr="00316CC8">
        <w:rPr>
          <w:rFonts w:ascii="Arial" w:hAnsi="Arial" w:cs="Arial"/>
          <w:sz w:val="24"/>
          <w:szCs w:val="24"/>
        </w:rPr>
        <w:lastRenderedPageBreak/>
        <w:t>einen Beauftragten beizuwohnen. Sollte der Verkäufer bei der Probenahme nicht anwesend sein, gilt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die Probenahme durch die </w:t>
      </w:r>
      <w:r w:rsidR="00AB3C1A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bei Anlieferung als durch den Verkäufer anerkannt. Verlangt der Verkäufer eine Probenahme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durch einen sachverständigen und vereidigten Probenehmer, so trägt er die Kosten der Probenahme. Es wird grundsätzlich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jede Liefereinheit entsprechend der Arbeitsanweisung zur „Probenahme und Rückstellmusterbildung“ beprobt. Für die Analysen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können Proben zusammengefasst werden bis zu einer max. Prüfdichte von 100 t. Beanstandungen und Reklamationen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hinsichtlich der abgerechneten Mengen und/oder der festgestellten Qualitäten sind unverzüglich nach Kenntnis schriftlich beim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Käufer anzuzeigen. Die Qualitätsuntersuchungen erfolgen im Labor des Käufers mit entsprechend für den Handel mit landwirtschaftlichen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Erzeugnissen geeichten oder kalibrierten (ggf. durch eigene Messreihen dokumentiert) Laborgeräten des Käufers.</w:t>
      </w:r>
    </w:p>
    <w:p w14:paraId="05ED4D90" w14:textId="77777777" w:rsidR="009F09D2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Eventuelle Zweit- oder Schiedsanalysen erfolgen in einem unabhängigen akkreditierten Labor nach Käufers Wahl auf Kosten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des Antragstellers, bei Ölsaatenuntersuchung in einem anerkannten FOSFA Labor nach Käufers Wahl – auch in diesem Fall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ist das Rückstellmuster vom Käufer maßgeblich. Bei Abweichungen des zu untersuchenden Wertes kommt das Mittel der beiden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Analysen zur Abrechnung. Weichen die Werte der ersten und zweiten Analyse erheblich voneinander ab, so haben beide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Kontraktpartner das Recht, eine dritte Analyse auf Antragstellers Kosten bei einem zu vereinbarenden Labor (bei Ölsaaten FOSFA)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zu veranlassen. Das Mittel der sich am meisten annähernden Analysewerte gelangt zur Abrechnung.</w:t>
      </w:r>
      <w:r w:rsidR="003867B4">
        <w:rPr>
          <w:rFonts w:ascii="Arial" w:hAnsi="Arial" w:cs="Arial"/>
          <w:sz w:val="24"/>
          <w:szCs w:val="24"/>
        </w:rPr>
        <w:t xml:space="preserve"> </w:t>
      </w:r>
    </w:p>
    <w:p w14:paraId="7BC52FDA" w14:textId="3EA7F6D9" w:rsidR="006D58AE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Bei Lieferung von nicht kontraktlicher Ware trägt der Verkäufer sämtliche Kosten, die bei der Entgegennahme, jedweder Behandlung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der Ware zur Vermarktungsfähigkeit und dem evtl. Rücktransport zum Verkäufer </w:t>
      </w:r>
      <w:r w:rsidR="003867B4">
        <w:rPr>
          <w:rFonts w:ascii="Arial" w:hAnsi="Arial" w:cs="Arial"/>
          <w:sz w:val="24"/>
          <w:szCs w:val="24"/>
        </w:rPr>
        <w:t>e</w:t>
      </w:r>
      <w:r w:rsidRPr="00316CC8">
        <w:rPr>
          <w:rFonts w:ascii="Arial" w:hAnsi="Arial" w:cs="Arial"/>
          <w:sz w:val="24"/>
          <w:szCs w:val="24"/>
        </w:rPr>
        <w:t>ntstehen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bzw. der Käufer behält sich das Recht vor, die Ware auf Kosten des Verkäufers </w:t>
      </w:r>
      <w:r w:rsidR="009F3E81" w:rsidRPr="00316CC8">
        <w:rPr>
          <w:rFonts w:ascii="Arial" w:hAnsi="Arial" w:cs="Arial"/>
          <w:sz w:val="24"/>
          <w:szCs w:val="24"/>
        </w:rPr>
        <w:t>zurückzuweisen</w:t>
      </w:r>
      <w:r w:rsidRPr="00316CC8">
        <w:rPr>
          <w:rFonts w:ascii="Arial" w:hAnsi="Arial" w:cs="Arial"/>
          <w:sz w:val="24"/>
          <w:szCs w:val="24"/>
        </w:rPr>
        <w:t>.</w:t>
      </w:r>
    </w:p>
    <w:p w14:paraId="56C9B448" w14:textId="77777777" w:rsidR="009F09D2" w:rsidRPr="00316CC8" w:rsidRDefault="009F09D2" w:rsidP="00316CC8">
      <w:pPr>
        <w:rPr>
          <w:rFonts w:ascii="Arial" w:hAnsi="Arial" w:cs="Arial"/>
          <w:sz w:val="24"/>
          <w:szCs w:val="24"/>
        </w:rPr>
      </w:pPr>
    </w:p>
    <w:p w14:paraId="13161230" w14:textId="77777777" w:rsidR="006D58AE" w:rsidRPr="009F09D2" w:rsidRDefault="006D58AE" w:rsidP="00316CC8">
      <w:pPr>
        <w:rPr>
          <w:rFonts w:ascii="Arial" w:hAnsi="Arial" w:cs="Arial"/>
          <w:b/>
          <w:sz w:val="24"/>
          <w:szCs w:val="24"/>
        </w:rPr>
      </w:pPr>
      <w:r w:rsidRPr="009F09D2">
        <w:rPr>
          <w:rFonts w:ascii="Arial" w:hAnsi="Arial" w:cs="Arial"/>
          <w:b/>
          <w:sz w:val="24"/>
          <w:szCs w:val="24"/>
        </w:rPr>
        <w:t>6. Einlagerung / Verantwortlichkeit</w:t>
      </w:r>
    </w:p>
    <w:p w14:paraId="50C481B8" w14:textId="77777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Der Lieferant von Ernteerzeugnissen ist mit der Zusammenlagerung mit weiterem Erntegut gleicher Art einverstanden. Schäden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und Aufwendungen, die dadurch entstehen, dass die abgelieferte Partie infolge verdeckter Mängel den kontraktlichen Bedingungen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nicht entspricht, sind vom Lieferanten zu tragen, und zwar auch für die Mengen, mit denen die maßgebliche Partie zusammengelagert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wurde.</w:t>
      </w:r>
    </w:p>
    <w:p w14:paraId="1DB15839" w14:textId="6B0C5541" w:rsidR="006D58AE" w:rsidRPr="009F09D2" w:rsidRDefault="003C61D7" w:rsidP="00316C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6D58AE" w:rsidRPr="009F09D2">
        <w:rPr>
          <w:rFonts w:ascii="Arial" w:hAnsi="Arial" w:cs="Arial"/>
          <w:b/>
          <w:sz w:val="24"/>
          <w:szCs w:val="24"/>
        </w:rPr>
        <w:t>6a. Lagervertrag</w:t>
      </w:r>
    </w:p>
    <w:p w14:paraId="37923728" w14:textId="6E4EFD1D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Ware, die ohne Preisfixierung (in schriftlicher oder mündlicher Form), ex Ernte geliefert wurde, muss </w:t>
      </w:r>
      <w:r w:rsidR="00AB3C1A">
        <w:rPr>
          <w:rFonts w:ascii="Arial" w:hAnsi="Arial" w:cs="Arial"/>
          <w:sz w:val="24"/>
          <w:szCs w:val="24"/>
        </w:rPr>
        <w:t>bis</w:t>
      </w:r>
      <w:r w:rsidRPr="00316CC8">
        <w:rPr>
          <w:rFonts w:ascii="Arial" w:hAnsi="Arial" w:cs="Arial"/>
          <w:sz w:val="24"/>
          <w:szCs w:val="24"/>
        </w:rPr>
        <w:t xml:space="preserve"> spätestens aber 10 Tage nach Anlieferung, preislich fixiert oder, nach Verfügbarkeit des Lagerraumes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am Lieferort, in einen separaten Einlagerungsvertrag zu entsprechenden Kosten überführt werden, wobei die Lagerdauer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mindestens </w:t>
      </w:r>
      <w:r w:rsidR="00AB3C1A">
        <w:rPr>
          <w:rFonts w:ascii="Arial" w:hAnsi="Arial" w:cs="Arial"/>
          <w:sz w:val="24"/>
          <w:szCs w:val="24"/>
        </w:rPr>
        <w:t>bis 31.Dezember</w:t>
      </w:r>
      <w:r w:rsidRPr="00316CC8">
        <w:rPr>
          <w:rFonts w:ascii="Arial" w:hAnsi="Arial" w:cs="Arial"/>
          <w:sz w:val="24"/>
          <w:szCs w:val="24"/>
        </w:rPr>
        <w:t xml:space="preserve">, maximal jedoch bis zum 31. Mai des der Ernte folgenden Jahres gilt. Die vereinbarten Kostensätze </w:t>
      </w:r>
      <w:r w:rsidR="00AB3C1A">
        <w:rPr>
          <w:rFonts w:ascii="Arial" w:hAnsi="Arial" w:cs="Arial"/>
          <w:sz w:val="24"/>
          <w:szCs w:val="24"/>
        </w:rPr>
        <w:t xml:space="preserve">bis 31. Dezember werden im Voraus in Summe </w:t>
      </w:r>
      <w:r w:rsidRPr="00316CC8">
        <w:rPr>
          <w:rFonts w:ascii="Arial" w:hAnsi="Arial" w:cs="Arial"/>
          <w:sz w:val="24"/>
          <w:szCs w:val="24"/>
        </w:rPr>
        <w:t xml:space="preserve">berechnet, </w:t>
      </w:r>
      <w:r w:rsidR="00AB3C1A">
        <w:rPr>
          <w:rFonts w:ascii="Arial" w:hAnsi="Arial" w:cs="Arial"/>
          <w:sz w:val="24"/>
          <w:szCs w:val="24"/>
        </w:rPr>
        <w:t>ab Januar des der Ernte folgenden Jahres, werden die Kosten monatlich berechnet</w:t>
      </w:r>
      <w:r w:rsidRPr="00316CC8">
        <w:rPr>
          <w:rFonts w:ascii="Arial" w:hAnsi="Arial" w:cs="Arial"/>
          <w:sz w:val="24"/>
          <w:szCs w:val="24"/>
        </w:rPr>
        <w:t>. Der Lagerhalter verpflichtet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sich, die Ware entsprechend ihrer Eingruppierung der Qualitäten (gem. Punkt 4. Qualitätsbedingungen) zu lagern, jedoch nicht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separiert von anderer Ware der gleichen Kategorie. Analysekosten und Kosten zur Gesunderhaltung der Ware werden dem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Lieferanten, entsprechend den Abrechnungsmodalitäten der </w:t>
      </w:r>
      <w:r w:rsidR="00514A18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>, mit Einlagerungsbeginn berechnet. Die eingelagerte Menge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wird buchmäßig separat als Fremdbestand geführt und ausgewiesen.</w:t>
      </w:r>
      <w:r w:rsidR="003867B4">
        <w:rPr>
          <w:rFonts w:ascii="Arial" w:hAnsi="Arial" w:cs="Arial"/>
          <w:sz w:val="24"/>
          <w:szCs w:val="24"/>
        </w:rPr>
        <w:t xml:space="preserve"> </w:t>
      </w:r>
    </w:p>
    <w:p w14:paraId="140E8D19" w14:textId="77777777" w:rsidR="001E32E0" w:rsidRDefault="001E32E0" w:rsidP="00316CC8">
      <w:pPr>
        <w:rPr>
          <w:rFonts w:ascii="Arial" w:hAnsi="Arial" w:cs="Arial"/>
          <w:sz w:val="24"/>
          <w:szCs w:val="24"/>
        </w:rPr>
      </w:pPr>
    </w:p>
    <w:p w14:paraId="7F5AD910" w14:textId="260B2170" w:rsidR="006D58AE" w:rsidRPr="00316CC8" w:rsidRDefault="003C61D7" w:rsidP="00316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D58AE" w:rsidRPr="00316CC8">
        <w:rPr>
          <w:rFonts w:ascii="Arial" w:hAnsi="Arial" w:cs="Arial"/>
          <w:sz w:val="24"/>
          <w:szCs w:val="24"/>
        </w:rPr>
        <w:t>Es gelten folgende Kostensätze:</w:t>
      </w:r>
    </w:p>
    <w:p w14:paraId="5B462B5A" w14:textId="23AC2C71" w:rsidR="00B97207" w:rsidRDefault="00DE5EF1" w:rsidP="00316CC8">
      <w:pPr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 xml:space="preserve">Gebühren bis zum 31.12. pauschal: </w:t>
      </w:r>
      <w:r w:rsidR="00B97207">
        <w:rPr>
          <w:rFonts w:ascii="Arial" w:hAnsi="Arial" w:cs="Arial"/>
          <w:sz w:val="24"/>
          <w:szCs w:val="24"/>
        </w:rPr>
        <w:tab/>
      </w:r>
      <w:r w:rsidRPr="00DE5EF1">
        <w:rPr>
          <w:rFonts w:ascii="Arial" w:hAnsi="Arial" w:cs="Arial"/>
          <w:sz w:val="24"/>
          <w:szCs w:val="24"/>
        </w:rPr>
        <w:t>1</w:t>
      </w:r>
      <w:r w:rsidR="00514A18">
        <w:rPr>
          <w:rFonts w:ascii="Arial" w:hAnsi="Arial" w:cs="Arial"/>
          <w:sz w:val="24"/>
          <w:szCs w:val="24"/>
        </w:rPr>
        <w:t>5,00</w:t>
      </w:r>
      <w:r w:rsidRPr="00DE5EF1">
        <w:rPr>
          <w:rFonts w:ascii="Arial" w:hAnsi="Arial" w:cs="Arial"/>
          <w:sz w:val="24"/>
          <w:szCs w:val="24"/>
        </w:rPr>
        <w:t xml:space="preserve"> EUR/</w:t>
      </w:r>
      <w:proofErr w:type="spellStart"/>
      <w:r w:rsidRPr="00DE5EF1">
        <w:rPr>
          <w:rFonts w:ascii="Arial" w:hAnsi="Arial" w:cs="Arial"/>
          <w:sz w:val="24"/>
          <w:szCs w:val="24"/>
        </w:rPr>
        <w:t>to</w:t>
      </w:r>
      <w:proofErr w:type="spellEnd"/>
      <w:r w:rsidRPr="00DE5EF1">
        <w:rPr>
          <w:rFonts w:ascii="Arial" w:hAnsi="Arial" w:cs="Arial"/>
          <w:sz w:val="24"/>
          <w:szCs w:val="24"/>
        </w:rPr>
        <w:t xml:space="preserve"> bei Getreide / </w:t>
      </w:r>
    </w:p>
    <w:p w14:paraId="2DFA154E" w14:textId="2BFCE13E" w:rsidR="00B97207" w:rsidRDefault="00DE5EF1" w:rsidP="00B97207">
      <w:pPr>
        <w:ind w:left="3540" w:firstLine="708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>1</w:t>
      </w:r>
      <w:r w:rsidR="00514A18">
        <w:rPr>
          <w:rFonts w:ascii="Arial" w:hAnsi="Arial" w:cs="Arial"/>
          <w:sz w:val="24"/>
          <w:szCs w:val="24"/>
        </w:rPr>
        <w:t>9</w:t>
      </w:r>
      <w:r w:rsidR="007367EE">
        <w:rPr>
          <w:rFonts w:ascii="Arial" w:hAnsi="Arial" w:cs="Arial"/>
          <w:sz w:val="24"/>
          <w:szCs w:val="24"/>
        </w:rPr>
        <w:t>,00</w:t>
      </w:r>
      <w:r w:rsidRPr="00DE5EF1">
        <w:rPr>
          <w:rFonts w:ascii="Arial" w:hAnsi="Arial" w:cs="Arial"/>
          <w:sz w:val="24"/>
          <w:szCs w:val="24"/>
        </w:rPr>
        <w:t xml:space="preserve"> EUR/</w:t>
      </w:r>
      <w:proofErr w:type="spellStart"/>
      <w:r w:rsidRPr="00DE5EF1">
        <w:rPr>
          <w:rFonts w:ascii="Arial" w:hAnsi="Arial" w:cs="Arial"/>
          <w:sz w:val="24"/>
          <w:szCs w:val="24"/>
        </w:rPr>
        <w:t>to</w:t>
      </w:r>
      <w:proofErr w:type="spellEnd"/>
      <w:r w:rsidRPr="00DE5EF1">
        <w:rPr>
          <w:rFonts w:ascii="Arial" w:hAnsi="Arial" w:cs="Arial"/>
          <w:sz w:val="24"/>
          <w:szCs w:val="24"/>
        </w:rPr>
        <w:t xml:space="preserve"> bei Raps und Hülsenfrüchten</w:t>
      </w:r>
    </w:p>
    <w:p w14:paraId="6E10239B" w14:textId="687DCEB9" w:rsidR="00B97207" w:rsidRDefault="00DE5EF1" w:rsidP="00B97207">
      <w:pPr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 xml:space="preserve">Lagergeld ab 01.01.: </w:t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Pr="00DE5EF1">
        <w:rPr>
          <w:rFonts w:ascii="Arial" w:hAnsi="Arial" w:cs="Arial"/>
          <w:sz w:val="24"/>
          <w:szCs w:val="24"/>
        </w:rPr>
        <w:t>2,</w:t>
      </w:r>
      <w:r w:rsidR="00514A18">
        <w:rPr>
          <w:rFonts w:ascii="Arial" w:hAnsi="Arial" w:cs="Arial"/>
          <w:sz w:val="24"/>
          <w:szCs w:val="24"/>
        </w:rPr>
        <w:t>5</w:t>
      </w:r>
      <w:r w:rsidRPr="00DE5EF1">
        <w:rPr>
          <w:rFonts w:ascii="Arial" w:hAnsi="Arial" w:cs="Arial"/>
          <w:sz w:val="24"/>
          <w:szCs w:val="24"/>
        </w:rPr>
        <w:t>0 EUR/</w:t>
      </w:r>
      <w:proofErr w:type="spellStart"/>
      <w:r w:rsidRPr="00DE5EF1">
        <w:rPr>
          <w:rFonts w:ascii="Arial" w:hAnsi="Arial" w:cs="Arial"/>
          <w:sz w:val="24"/>
          <w:szCs w:val="24"/>
        </w:rPr>
        <w:t>to</w:t>
      </w:r>
      <w:proofErr w:type="spellEnd"/>
      <w:r w:rsidRPr="00DE5EF1">
        <w:rPr>
          <w:rFonts w:ascii="Arial" w:hAnsi="Arial" w:cs="Arial"/>
          <w:sz w:val="24"/>
          <w:szCs w:val="24"/>
        </w:rPr>
        <w:t xml:space="preserve">/Monat bei Getreide </w:t>
      </w:r>
    </w:p>
    <w:p w14:paraId="7C32DC14" w14:textId="044FC6FA" w:rsidR="00B97207" w:rsidRDefault="00514A18" w:rsidP="00B97207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3,0</w:t>
      </w:r>
      <w:r w:rsidR="00DE5EF1" w:rsidRPr="00DE5EF1">
        <w:rPr>
          <w:rFonts w:ascii="Arial" w:hAnsi="Arial" w:cs="Arial"/>
          <w:sz w:val="24"/>
          <w:szCs w:val="24"/>
        </w:rPr>
        <w:t>0 EUR/</w:t>
      </w:r>
      <w:proofErr w:type="spellStart"/>
      <w:r w:rsidR="00DE5EF1" w:rsidRPr="00DE5EF1">
        <w:rPr>
          <w:rFonts w:ascii="Arial" w:hAnsi="Arial" w:cs="Arial"/>
          <w:sz w:val="24"/>
          <w:szCs w:val="24"/>
        </w:rPr>
        <w:t>to</w:t>
      </w:r>
      <w:proofErr w:type="spellEnd"/>
      <w:r w:rsidR="00DE5EF1" w:rsidRPr="00DE5EF1">
        <w:rPr>
          <w:rFonts w:ascii="Arial" w:hAnsi="Arial" w:cs="Arial"/>
          <w:sz w:val="24"/>
          <w:szCs w:val="24"/>
        </w:rPr>
        <w:t>/Monat bei Raps</w:t>
      </w:r>
    </w:p>
    <w:p w14:paraId="4631E553" w14:textId="77777777" w:rsidR="00B97207" w:rsidRDefault="00DE5EF1" w:rsidP="00B97207">
      <w:pPr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 xml:space="preserve">Auslagerungsgebühren </w:t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Pr="00DE5EF1">
        <w:rPr>
          <w:rFonts w:ascii="Arial" w:hAnsi="Arial" w:cs="Arial"/>
          <w:sz w:val="24"/>
          <w:szCs w:val="24"/>
        </w:rPr>
        <w:t>5,00 EUR/</w:t>
      </w:r>
      <w:proofErr w:type="spellStart"/>
      <w:r w:rsidRPr="00DE5EF1">
        <w:rPr>
          <w:rFonts w:ascii="Arial" w:hAnsi="Arial" w:cs="Arial"/>
          <w:sz w:val="24"/>
          <w:szCs w:val="24"/>
        </w:rPr>
        <w:t>to</w:t>
      </w:r>
      <w:proofErr w:type="spellEnd"/>
      <w:r w:rsidRPr="00DE5EF1">
        <w:rPr>
          <w:rFonts w:ascii="Arial" w:hAnsi="Arial" w:cs="Arial"/>
          <w:sz w:val="24"/>
          <w:szCs w:val="24"/>
        </w:rPr>
        <w:t xml:space="preserve"> </w:t>
      </w:r>
    </w:p>
    <w:p w14:paraId="033776F3" w14:textId="77777777" w:rsidR="00B97207" w:rsidRDefault="00DE5EF1" w:rsidP="00B97207">
      <w:pPr>
        <w:ind w:left="4245" w:hanging="4245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 xml:space="preserve">Logistikpauschale: </w:t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Pr="00DE5EF1">
        <w:rPr>
          <w:rFonts w:ascii="Arial" w:hAnsi="Arial" w:cs="Arial"/>
          <w:sz w:val="24"/>
          <w:szCs w:val="24"/>
        </w:rPr>
        <w:t>5,00 EUR/</w:t>
      </w:r>
      <w:proofErr w:type="spellStart"/>
      <w:r w:rsidRPr="00DE5EF1">
        <w:rPr>
          <w:rFonts w:ascii="Arial" w:hAnsi="Arial" w:cs="Arial"/>
          <w:sz w:val="24"/>
          <w:szCs w:val="24"/>
        </w:rPr>
        <w:t>to</w:t>
      </w:r>
      <w:proofErr w:type="spellEnd"/>
      <w:r w:rsidRPr="00DE5EF1">
        <w:rPr>
          <w:rFonts w:ascii="Arial" w:hAnsi="Arial" w:cs="Arial"/>
          <w:sz w:val="24"/>
          <w:szCs w:val="24"/>
        </w:rPr>
        <w:t xml:space="preserve"> (bei Hofabfuhr oder Anlieferung auf Umschlagstandorte) </w:t>
      </w:r>
    </w:p>
    <w:p w14:paraId="01DAFAEF" w14:textId="0135CC33" w:rsidR="00B97207" w:rsidRDefault="00DE5EF1" w:rsidP="00B97207">
      <w:pPr>
        <w:ind w:left="4245" w:hanging="4245"/>
        <w:rPr>
          <w:rFonts w:ascii="Arial" w:hAnsi="Arial" w:cs="Arial"/>
          <w:sz w:val="24"/>
          <w:szCs w:val="24"/>
        </w:rPr>
      </w:pPr>
      <w:r w:rsidRPr="00DE5EF1">
        <w:rPr>
          <w:rFonts w:ascii="Arial" w:hAnsi="Arial" w:cs="Arial"/>
          <w:sz w:val="24"/>
          <w:szCs w:val="24"/>
        </w:rPr>
        <w:t xml:space="preserve">Lagerschwund </w:t>
      </w:r>
      <w:r w:rsidR="00B97207">
        <w:rPr>
          <w:rFonts w:ascii="Arial" w:hAnsi="Arial" w:cs="Arial"/>
          <w:sz w:val="24"/>
          <w:szCs w:val="24"/>
        </w:rPr>
        <w:tab/>
      </w:r>
      <w:r w:rsidR="00B97207">
        <w:rPr>
          <w:rFonts w:ascii="Arial" w:hAnsi="Arial" w:cs="Arial"/>
          <w:sz w:val="24"/>
          <w:szCs w:val="24"/>
        </w:rPr>
        <w:tab/>
      </w:r>
      <w:r w:rsidRPr="00DE5EF1">
        <w:rPr>
          <w:rFonts w:ascii="Arial" w:hAnsi="Arial" w:cs="Arial"/>
          <w:sz w:val="24"/>
          <w:szCs w:val="24"/>
        </w:rPr>
        <w:t>0,1 %/Monat</w:t>
      </w:r>
      <w:r w:rsidR="00514A18">
        <w:rPr>
          <w:rFonts w:ascii="Arial" w:hAnsi="Arial" w:cs="Arial"/>
          <w:sz w:val="24"/>
          <w:szCs w:val="24"/>
        </w:rPr>
        <w:t xml:space="preserve"> </w:t>
      </w:r>
    </w:p>
    <w:p w14:paraId="48D94E36" w14:textId="52CB2CCB" w:rsidR="006D58AE" w:rsidRDefault="00514A18" w:rsidP="00FC41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</w:t>
      </w:r>
      <w:r w:rsidR="006D58AE" w:rsidRPr="00316CC8">
        <w:rPr>
          <w:rFonts w:ascii="Arial" w:hAnsi="Arial" w:cs="Arial"/>
          <w:sz w:val="24"/>
          <w:szCs w:val="24"/>
        </w:rPr>
        <w:t>Auslagerung erhält der Lieferant gesunde und h</w:t>
      </w:r>
      <w:r w:rsidR="00B97207">
        <w:rPr>
          <w:rFonts w:ascii="Arial" w:hAnsi="Arial" w:cs="Arial"/>
          <w:sz w:val="24"/>
          <w:szCs w:val="24"/>
        </w:rPr>
        <w:t xml:space="preserve">andelsübliche Ware gem. der vom </w:t>
      </w:r>
      <w:r w:rsidR="00B97207" w:rsidRPr="00316CC8">
        <w:rPr>
          <w:rFonts w:ascii="Arial" w:hAnsi="Arial" w:cs="Arial"/>
          <w:sz w:val="24"/>
          <w:szCs w:val="24"/>
        </w:rPr>
        <w:t>Lagerhalter vorgenommenen Eingruppierung</w:t>
      </w:r>
      <w:r w:rsidR="00B97207">
        <w:rPr>
          <w:rFonts w:ascii="Arial" w:hAnsi="Arial" w:cs="Arial"/>
          <w:sz w:val="24"/>
          <w:szCs w:val="24"/>
        </w:rPr>
        <w:t xml:space="preserve"> </w:t>
      </w:r>
      <w:r w:rsidR="006D58AE" w:rsidRPr="00316CC8">
        <w:rPr>
          <w:rFonts w:ascii="Arial" w:hAnsi="Arial" w:cs="Arial"/>
          <w:sz w:val="24"/>
          <w:szCs w:val="24"/>
        </w:rPr>
        <w:t>von diesem oder einem anderen Lager des Lagerhalters zurück, wobei eine Paritätsverrechnung erfolgt. Die Basis ist frei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="006D58AE" w:rsidRPr="00316CC8">
        <w:rPr>
          <w:rFonts w:ascii="Arial" w:hAnsi="Arial" w:cs="Arial"/>
          <w:sz w:val="24"/>
          <w:szCs w:val="24"/>
        </w:rPr>
        <w:t>Fuhre vereinbarter Einlagerungsort.</w:t>
      </w:r>
    </w:p>
    <w:p w14:paraId="1EA9490C" w14:textId="532F8FFB" w:rsidR="006D58AE" w:rsidRPr="009F09D2" w:rsidRDefault="003C61D7" w:rsidP="00316C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6D58AE" w:rsidRPr="009F09D2">
        <w:rPr>
          <w:rFonts w:ascii="Arial" w:hAnsi="Arial" w:cs="Arial"/>
          <w:b/>
          <w:sz w:val="24"/>
          <w:szCs w:val="24"/>
        </w:rPr>
        <w:t>7. Zahlungen</w:t>
      </w:r>
    </w:p>
    <w:p w14:paraId="1DFD162E" w14:textId="3D2CB77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 xml:space="preserve">Bei vorhandenen Forderungen und Sicherungsvereinbarungen werden die Erlöse nach Wahl der </w:t>
      </w:r>
      <w:r w:rsidR="00514A18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gegen die bestehenden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offenen Posten verrechnet. Bei Einkaufskontrakten mit Preisbasis ex Ernte erfolgt die Bezahlung 21 Tage nach Lieferung und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Analyse der gesamten Partie. Bei Einkaufskontrakten mit Preisbasis nach Ernte, max. bis Ende landwirtschaftliches Wirtschaftsjahr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(30.06.), erfolgt die Bezahlung </w:t>
      </w:r>
      <w:r w:rsidR="00514A18">
        <w:rPr>
          <w:rFonts w:ascii="Arial" w:hAnsi="Arial" w:cs="Arial"/>
          <w:sz w:val="24"/>
          <w:szCs w:val="24"/>
        </w:rPr>
        <w:t>21</w:t>
      </w:r>
      <w:r w:rsidRPr="00316CC8">
        <w:rPr>
          <w:rFonts w:ascii="Arial" w:hAnsi="Arial" w:cs="Arial"/>
          <w:sz w:val="24"/>
          <w:szCs w:val="24"/>
        </w:rPr>
        <w:t xml:space="preserve"> Tage nach Lieferung. Spätere abweichende Vereinbarungen führen zu einer Zahlungsfrist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lt. Einkaufskontrakt. Im Übrigen gelten die Allgemeinen Geschäftsbedingungen der </w:t>
      </w:r>
      <w:r w:rsidR="00514A18">
        <w:rPr>
          <w:rFonts w:ascii="Arial" w:hAnsi="Arial" w:cs="Arial"/>
          <w:sz w:val="24"/>
          <w:szCs w:val="24"/>
        </w:rPr>
        <w:t>AHG Agrarhandel GmbH, Erfurt</w:t>
      </w:r>
      <w:r w:rsidRPr="00316CC8">
        <w:rPr>
          <w:rFonts w:ascii="Arial" w:hAnsi="Arial" w:cs="Arial"/>
          <w:sz w:val="24"/>
          <w:szCs w:val="24"/>
        </w:rPr>
        <w:t>. Die Zahlung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erfolgt auf Basis der zur Verfügung gestellten Getreidegutschrift.</w:t>
      </w:r>
    </w:p>
    <w:p w14:paraId="1148A4CD" w14:textId="62B36347" w:rsidR="006D58AE" w:rsidRPr="009F09D2" w:rsidRDefault="003C61D7" w:rsidP="00316C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6D58AE" w:rsidRPr="009F09D2">
        <w:rPr>
          <w:rFonts w:ascii="Arial" w:hAnsi="Arial" w:cs="Arial"/>
          <w:b/>
          <w:sz w:val="24"/>
          <w:szCs w:val="24"/>
        </w:rPr>
        <w:t>8. Bedingungen</w:t>
      </w:r>
    </w:p>
    <w:p w14:paraId="2AE707E4" w14:textId="36BE5952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Soweit nichts anderes vereinbart wurde, gelten die Einheitsbedingungen im Deutschen Getreidehandel (EB), die Bedingungen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für die Durchführung einer Intervention der BLE, die Zusatzbestimmungen zu den Einheitsbedingungen im Deutschen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Getreidehandel für Geschäfte in deutscher Braugerste sowie unsere Allgemeinen Geschäftsbedingungen, und zwar jeweils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in der zur Zeit des Kontraktabschlusses maßgeblichen Fassung. Die </w:t>
      </w:r>
      <w:r w:rsidR="00514A18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behält sich vor, die „Abrechnungsmodalitäten für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Getreide inkl. Mais, Hülsenfrüchte und Ölsaaten“ den jeweiligen Marktverhältnissen anzupassen.</w:t>
      </w:r>
    </w:p>
    <w:p w14:paraId="7C26913D" w14:textId="782C7A47" w:rsidR="006D58AE" w:rsidRPr="00316CC8" w:rsidRDefault="006D58AE" w:rsidP="00316CC8">
      <w:pPr>
        <w:rPr>
          <w:rFonts w:ascii="Arial" w:hAnsi="Arial" w:cs="Arial"/>
          <w:sz w:val="24"/>
          <w:szCs w:val="24"/>
        </w:rPr>
      </w:pPr>
      <w:r w:rsidRPr="00316CC8">
        <w:rPr>
          <w:rFonts w:ascii="Arial" w:hAnsi="Arial" w:cs="Arial"/>
          <w:sz w:val="24"/>
          <w:szCs w:val="24"/>
        </w:rPr>
        <w:t>Soweit in diesen Bedingungen auf Abrechnungsbedingungen Bezug genommen wird, sind diese während der Geschäftszeiten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 xml:space="preserve">in den Geschäftsräumen der </w:t>
      </w:r>
      <w:r w:rsidR="00514A18">
        <w:rPr>
          <w:rFonts w:ascii="Arial" w:hAnsi="Arial" w:cs="Arial"/>
          <w:sz w:val="24"/>
          <w:szCs w:val="24"/>
        </w:rPr>
        <w:t>AHG</w:t>
      </w:r>
      <w:r w:rsidRPr="00316CC8">
        <w:rPr>
          <w:rFonts w:ascii="Arial" w:hAnsi="Arial" w:cs="Arial"/>
          <w:sz w:val="24"/>
          <w:szCs w:val="24"/>
        </w:rPr>
        <w:t xml:space="preserve"> zur Einsichtnahme ausgelegt. Als Schiedsgericht ist das Schiedsgericht des Vereins der</w:t>
      </w:r>
      <w:r w:rsidR="003867B4">
        <w:rPr>
          <w:rFonts w:ascii="Arial" w:hAnsi="Arial" w:cs="Arial"/>
          <w:sz w:val="24"/>
          <w:szCs w:val="24"/>
        </w:rPr>
        <w:t xml:space="preserve"> </w:t>
      </w:r>
      <w:r w:rsidRPr="00316CC8">
        <w:rPr>
          <w:rFonts w:ascii="Arial" w:hAnsi="Arial" w:cs="Arial"/>
          <w:sz w:val="24"/>
          <w:szCs w:val="24"/>
        </w:rPr>
        <w:t>Getreidehändler der Hamburger Börse eV, Hamburg vereinbart.</w:t>
      </w:r>
    </w:p>
    <w:p w14:paraId="5B8848EA" w14:textId="77777777" w:rsidR="003867B4" w:rsidRDefault="003867B4" w:rsidP="00316CC8">
      <w:pPr>
        <w:rPr>
          <w:rFonts w:ascii="Arial" w:hAnsi="Arial" w:cs="Arial"/>
          <w:sz w:val="24"/>
          <w:szCs w:val="24"/>
        </w:rPr>
      </w:pPr>
    </w:p>
    <w:p w14:paraId="16621626" w14:textId="6B9CD34B" w:rsidR="006D58AE" w:rsidRDefault="00DE5EF1" w:rsidP="00316CC8">
      <w:pPr>
        <w:rPr>
          <w:rFonts w:ascii="Arial" w:hAnsi="Arial" w:cs="Arial"/>
          <w:b/>
          <w:sz w:val="24"/>
          <w:szCs w:val="24"/>
        </w:rPr>
      </w:pPr>
      <w:r w:rsidRPr="00DE5EF1">
        <w:rPr>
          <w:rFonts w:ascii="Arial" w:hAnsi="Arial" w:cs="Arial"/>
          <w:b/>
          <w:sz w:val="24"/>
          <w:szCs w:val="24"/>
        </w:rPr>
        <w:t>Abzüge bei Nichteinhaltung der Qualitätsanforderungen Getreide</w:t>
      </w:r>
      <w:r w:rsidR="00514A18">
        <w:rPr>
          <w:rFonts w:ascii="Arial" w:hAnsi="Arial" w:cs="Arial"/>
          <w:b/>
          <w:sz w:val="24"/>
          <w:szCs w:val="24"/>
        </w:rPr>
        <w:t xml:space="preserve"> erfolgt den gesonderten Tabellen (siehe Punkt 8.)</w:t>
      </w:r>
    </w:p>
    <w:p w14:paraId="3AFC58DE" w14:textId="77777777" w:rsidR="00514A18" w:rsidRDefault="00514A18" w:rsidP="00316CC8">
      <w:pPr>
        <w:rPr>
          <w:rFonts w:ascii="Arial" w:hAnsi="Arial" w:cs="Arial"/>
          <w:b/>
          <w:sz w:val="24"/>
          <w:szCs w:val="24"/>
        </w:rPr>
      </w:pPr>
    </w:p>
    <w:p w14:paraId="3F1474B5" w14:textId="528D505A" w:rsidR="00514A18" w:rsidRDefault="00514A18" w:rsidP="00316C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Erfurt, </w:t>
      </w:r>
      <w:r w:rsidR="003C61D7">
        <w:rPr>
          <w:rFonts w:ascii="Arial" w:hAnsi="Arial" w:cs="Arial"/>
          <w:b/>
          <w:sz w:val="24"/>
          <w:szCs w:val="24"/>
        </w:rPr>
        <w:t>1</w:t>
      </w:r>
      <w:r w:rsidR="006A3F25">
        <w:rPr>
          <w:rFonts w:ascii="Arial" w:hAnsi="Arial" w:cs="Arial"/>
          <w:b/>
          <w:sz w:val="24"/>
          <w:szCs w:val="24"/>
        </w:rPr>
        <w:t>6</w:t>
      </w:r>
      <w:r w:rsidR="003C61D7">
        <w:rPr>
          <w:rFonts w:ascii="Arial" w:hAnsi="Arial" w:cs="Arial"/>
          <w:b/>
          <w:sz w:val="24"/>
          <w:szCs w:val="24"/>
        </w:rPr>
        <w:t>.07.2025</w:t>
      </w:r>
    </w:p>
    <w:sectPr w:rsidR="00514A18" w:rsidSect="003739A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C2150"/>
    <w:multiLevelType w:val="hybridMultilevel"/>
    <w:tmpl w:val="DF8816F0"/>
    <w:lvl w:ilvl="0" w:tplc="92429B5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C097F"/>
    <w:multiLevelType w:val="hybridMultilevel"/>
    <w:tmpl w:val="D5EC80C2"/>
    <w:lvl w:ilvl="0" w:tplc="D144A7D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3943474">
    <w:abstractNumId w:val="0"/>
  </w:num>
  <w:num w:numId="2" w16cid:durableId="205593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AE"/>
    <w:rsid w:val="00026C6C"/>
    <w:rsid w:val="000A1C86"/>
    <w:rsid w:val="000D7B48"/>
    <w:rsid w:val="00156151"/>
    <w:rsid w:val="00167DED"/>
    <w:rsid w:val="001E32E0"/>
    <w:rsid w:val="00233764"/>
    <w:rsid w:val="00254B09"/>
    <w:rsid w:val="00267352"/>
    <w:rsid w:val="002B6943"/>
    <w:rsid w:val="00316CC8"/>
    <w:rsid w:val="00342C60"/>
    <w:rsid w:val="003739AB"/>
    <w:rsid w:val="003867B4"/>
    <w:rsid w:val="003C61D7"/>
    <w:rsid w:val="00401358"/>
    <w:rsid w:val="00444680"/>
    <w:rsid w:val="00455144"/>
    <w:rsid w:val="004A52C1"/>
    <w:rsid w:val="00514A18"/>
    <w:rsid w:val="00536AC1"/>
    <w:rsid w:val="0055098D"/>
    <w:rsid w:val="00625CCB"/>
    <w:rsid w:val="006A3F25"/>
    <w:rsid w:val="006D0BDF"/>
    <w:rsid w:val="006D58AE"/>
    <w:rsid w:val="007367EE"/>
    <w:rsid w:val="007A24C8"/>
    <w:rsid w:val="007A51B2"/>
    <w:rsid w:val="007B5112"/>
    <w:rsid w:val="008C4DAC"/>
    <w:rsid w:val="009871F7"/>
    <w:rsid w:val="009A5599"/>
    <w:rsid w:val="009B74E0"/>
    <w:rsid w:val="009F09D2"/>
    <w:rsid w:val="009F3E81"/>
    <w:rsid w:val="00A12D81"/>
    <w:rsid w:val="00AB3C1A"/>
    <w:rsid w:val="00B43ABD"/>
    <w:rsid w:val="00B80367"/>
    <w:rsid w:val="00B97207"/>
    <w:rsid w:val="00B9773A"/>
    <w:rsid w:val="00BB6B87"/>
    <w:rsid w:val="00BC20CA"/>
    <w:rsid w:val="00C52657"/>
    <w:rsid w:val="00C6538E"/>
    <w:rsid w:val="00C7087B"/>
    <w:rsid w:val="00CC55BE"/>
    <w:rsid w:val="00D13861"/>
    <w:rsid w:val="00D25647"/>
    <w:rsid w:val="00DE5EF1"/>
    <w:rsid w:val="00E335A4"/>
    <w:rsid w:val="00E9086E"/>
    <w:rsid w:val="00F165B4"/>
    <w:rsid w:val="00F56F23"/>
    <w:rsid w:val="00F64710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A646"/>
  <w15:chartTrackingRefBased/>
  <w15:docId w15:val="{7A5FFBA4-2688-475D-ADFE-5FA624BC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7087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F09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EF1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167DE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02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rt-idt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E6B7-5C8B-44FA-A524-D669A020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2723</Words>
  <Characters>17155</Characters>
  <Application>Microsoft Office Word</Application>
  <DocSecurity>4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Spilker, Benno</dc:creator>
  <cp:keywords/>
  <dc:description/>
  <cp:lastModifiedBy>Knieling, Thomas</cp:lastModifiedBy>
  <cp:revision>2</cp:revision>
  <cp:lastPrinted>2025-07-31T08:52:00Z</cp:lastPrinted>
  <dcterms:created xsi:type="dcterms:W3CDTF">2025-07-31T09:31:00Z</dcterms:created>
  <dcterms:modified xsi:type="dcterms:W3CDTF">2025-07-31T09:31:00Z</dcterms:modified>
</cp:coreProperties>
</file>